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EEA1A" w14:textId="4E556E2B" w:rsidR="00904B53" w:rsidRDefault="00904B53" w:rsidP="00904B53">
      <w:pPr>
        <w:jc w:val="both"/>
      </w:pPr>
      <w:r>
        <w:t xml:space="preserve">Il </w:t>
      </w:r>
      <w:r w:rsidRPr="00904B53">
        <w:t>capitolo</w:t>
      </w:r>
      <w:r>
        <w:t xml:space="preserve"> </w:t>
      </w:r>
      <w:r w:rsidRPr="00904B53">
        <w:rPr>
          <w:b/>
          <w:bCs/>
          <w:i/>
          <w:iCs/>
        </w:rPr>
        <w:t>Vita e Morte: quali connotazioni?</w:t>
      </w:r>
      <w:r w:rsidRPr="00904B53">
        <w:rPr>
          <w:b/>
          <w:bCs/>
        </w:rPr>
        <w:t xml:space="preserve"> di Barbara Saracino</w:t>
      </w:r>
      <w:r w:rsidRPr="00904B53">
        <w:t xml:space="preserve"> si concentra sulle concettualizzazioni di vita e morte e sulla loro connessione con la dimensione del sentire religioso. Nello specifico, il contributo, prova a rispondere alla domanda: qual è il senso della vita e della morte attributo dagli intervistati? La religiosità, quale dimensione fondante della vita sociale, può aiutare a rispondere a questo interrogativo. In particolare, l’analisi delle co-occorrenze delle parole permette di indagare il binomio vita-morte e di approfondire questa dimensione connotativa emersa con forza nelle 164 interviste raccolte. Nel capitolo l’analisi delle co-occorrenze v</w:t>
      </w:r>
      <w:r>
        <w:t>iene</w:t>
      </w:r>
      <w:r w:rsidRPr="00904B53">
        <w:t xml:space="preserve"> usata a supporto dell’analisi più squisitamente interpretativa dei testi di intervista, al fine di comprendere qual è il legame tra religiosità e riposte alle </w:t>
      </w:r>
      <w:r w:rsidRPr="00904B53">
        <w:rPr>
          <w:i/>
          <w:iCs/>
        </w:rPr>
        <w:t>grandi domande</w:t>
      </w:r>
      <w:r w:rsidRPr="00904B53">
        <w:t>, e come questo si distingue a seconda delle differenze nel vissuto religioso e nelle forme di religiosità espresse, così come delle differenze imputabili alle caratteristiche sociodemografiche dei rispondenti.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06D3" w14:paraId="6E4535A0" w14:textId="77777777" w:rsidTr="00B106D3">
        <w:tc>
          <w:tcPr>
            <w:tcW w:w="4814" w:type="dxa"/>
            <w:vAlign w:val="center"/>
          </w:tcPr>
          <w:p w14:paraId="5B6C1CB6" w14:textId="6296D9B9" w:rsidR="00B106D3" w:rsidRDefault="00B106D3" w:rsidP="00B106D3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2B7CCD" wp14:editId="1160F6AF">
                  <wp:extent cx="2359025" cy="2298700"/>
                  <wp:effectExtent l="0" t="0" r="3175" b="6350"/>
                  <wp:docPr id="1" name="Immagine 1" descr="Immagine che contiene testo, mapp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ta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2" r="22459" b="5483"/>
                          <a:stretch/>
                        </pic:blipFill>
                        <pic:spPr bwMode="auto">
                          <a:xfrm>
                            <a:off x="0" y="0"/>
                            <a:ext cx="2359132" cy="2298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5D9668F4" w14:textId="24247DDA" w:rsidR="00B106D3" w:rsidRDefault="00B106D3" w:rsidP="00B106D3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FCDB27" wp14:editId="4D704188">
                  <wp:extent cx="2520000" cy="2234167"/>
                  <wp:effectExtent l="0" t="0" r="0" b="0"/>
                  <wp:docPr id="2" name="Immagine 2" descr="Immagine che contiene testo, mapp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rte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45" r="16653"/>
                          <a:stretch/>
                        </pic:blipFill>
                        <pic:spPr bwMode="auto">
                          <a:xfrm>
                            <a:off x="0" y="0"/>
                            <a:ext cx="2520000" cy="2234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8E006" w14:textId="77777777" w:rsidR="00C131A6" w:rsidRDefault="00C131A6" w:rsidP="00F526F8">
      <w:pPr>
        <w:jc w:val="both"/>
      </w:pPr>
    </w:p>
    <w:p w14:paraId="338E2BD9" w14:textId="5DC71336" w:rsidR="00F526F8" w:rsidRPr="00F526F8" w:rsidRDefault="00F526F8" w:rsidP="00F526F8">
      <w:pPr>
        <w:jc w:val="both"/>
      </w:pPr>
      <w:r w:rsidRPr="00F526F8">
        <w:t>I concetti di vita e morte sono strettamente legati fra loro.</w:t>
      </w:r>
      <w:r>
        <w:t xml:space="preserve"> </w:t>
      </w:r>
      <w:r w:rsidRPr="00F526F8">
        <w:t xml:space="preserve">Nell’esaminare i testi delle interviste </w:t>
      </w:r>
      <w:r w:rsidR="00885417">
        <w:t xml:space="preserve">raccolte </w:t>
      </w:r>
      <w:r w:rsidRPr="00F526F8">
        <w:t>ci si rende conto che mentre ancora si vivono</w:t>
      </w:r>
      <w:r w:rsidR="00B327A8">
        <w:t xml:space="preserve"> e si raccontano </w:t>
      </w:r>
      <w:r w:rsidRPr="00F526F8">
        <w:t xml:space="preserve">le esperienze quotidiane resta comunque sempre presente la prospettiva dell’esito ultimo. </w:t>
      </w:r>
    </w:p>
    <w:p w14:paraId="3724374C" w14:textId="77777777" w:rsidR="00B327A8" w:rsidRDefault="00885417" w:rsidP="00F526F8">
      <w:pPr>
        <w:jc w:val="both"/>
      </w:pPr>
      <w:r>
        <w:t>L</w:t>
      </w:r>
      <w:r w:rsidR="00F526F8" w:rsidRPr="00F526F8">
        <w:t>e prime venti parole che compaiono all’interno dei discorsi sulla vita</w:t>
      </w:r>
      <w:r>
        <w:t xml:space="preserve"> degli intervistati</w:t>
      </w:r>
      <w:r w:rsidR="00F526F8" w:rsidRPr="00F526F8">
        <w:t xml:space="preserve"> sono: </w:t>
      </w:r>
      <w:r w:rsidR="00F526F8" w:rsidRPr="00F526F8">
        <w:rPr>
          <w:i/>
          <w:iCs/>
        </w:rPr>
        <w:t>momento</w:t>
      </w:r>
      <w:r w:rsidR="00F526F8" w:rsidRPr="00F526F8">
        <w:t xml:space="preserve">, </w:t>
      </w:r>
      <w:r w:rsidR="00F526F8" w:rsidRPr="00F526F8">
        <w:rPr>
          <w:i/>
          <w:iCs/>
        </w:rPr>
        <w:t>quotidiano</w:t>
      </w:r>
      <w:r w:rsidR="00F526F8" w:rsidRPr="00F526F8">
        <w:t xml:space="preserve">, </w:t>
      </w:r>
      <w:r w:rsidR="00F526F8" w:rsidRPr="00F526F8">
        <w:rPr>
          <w:i/>
          <w:iCs/>
        </w:rPr>
        <w:t>esperienza</w:t>
      </w:r>
      <w:r w:rsidR="00F526F8" w:rsidRPr="00F526F8">
        <w:t xml:space="preserve">, </w:t>
      </w:r>
      <w:r w:rsidR="00F526F8" w:rsidRPr="00F526F8">
        <w:rPr>
          <w:i/>
          <w:iCs/>
        </w:rPr>
        <w:t>importante</w:t>
      </w:r>
      <w:r w:rsidR="00F526F8" w:rsidRPr="00F526F8">
        <w:t xml:space="preserve">; </w:t>
      </w:r>
      <w:r w:rsidR="00F526F8" w:rsidRPr="00F526F8">
        <w:rPr>
          <w:i/>
          <w:iCs/>
        </w:rPr>
        <w:t>vivere</w:t>
      </w:r>
      <w:r w:rsidR="00F526F8" w:rsidRPr="00F526F8">
        <w:t xml:space="preserve">, </w:t>
      </w:r>
      <w:r w:rsidR="00F526F8" w:rsidRPr="00F526F8">
        <w:rPr>
          <w:i/>
          <w:iCs/>
        </w:rPr>
        <w:t>cambiare</w:t>
      </w:r>
      <w:r w:rsidR="00F526F8" w:rsidRPr="00F526F8">
        <w:t xml:space="preserve">, </w:t>
      </w:r>
      <w:r w:rsidR="00F526F8" w:rsidRPr="00F526F8">
        <w:rPr>
          <w:i/>
          <w:iCs/>
        </w:rPr>
        <w:t>capire</w:t>
      </w:r>
      <w:r w:rsidR="00F526F8" w:rsidRPr="00F526F8">
        <w:t xml:space="preserve">, </w:t>
      </w:r>
      <w:r w:rsidR="00F526F8" w:rsidRPr="00F526F8">
        <w:rPr>
          <w:i/>
          <w:iCs/>
        </w:rPr>
        <w:t>pensare</w:t>
      </w:r>
      <w:r w:rsidR="00F526F8" w:rsidRPr="00F526F8">
        <w:t xml:space="preserve">; </w:t>
      </w:r>
      <w:r w:rsidR="00F526F8" w:rsidRPr="00F526F8">
        <w:rPr>
          <w:i/>
          <w:iCs/>
        </w:rPr>
        <w:t>persona</w:t>
      </w:r>
      <w:r w:rsidR="00F526F8" w:rsidRPr="00F526F8">
        <w:t xml:space="preserve"> e </w:t>
      </w:r>
      <w:r w:rsidR="00F526F8" w:rsidRPr="00F526F8">
        <w:rPr>
          <w:i/>
          <w:iCs/>
        </w:rPr>
        <w:t>persone</w:t>
      </w:r>
      <w:r w:rsidR="00F526F8" w:rsidRPr="00F526F8">
        <w:t xml:space="preserve">; </w:t>
      </w:r>
      <w:r w:rsidR="00F526F8" w:rsidRPr="00F526F8">
        <w:rPr>
          <w:i/>
          <w:iCs/>
        </w:rPr>
        <w:t>tu</w:t>
      </w:r>
      <w:r w:rsidR="00F526F8" w:rsidRPr="00F526F8">
        <w:t xml:space="preserve"> e </w:t>
      </w:r>
      <w:r w:rsidR="00F526F8" w:rsidRPr="00F526F8">
        <w:rPr>
          <w:i/>
          <w:iCs/>
        </w:rPr>
        <w:t>noi</w:t>
      </w:r>
      <w:r w:rsidR="00F526F8" w:rsidRPr="00F526F8">
        <w:t xml:space="preserve">; </w:t>
      </w:r>
      <w:r w:rsidR="00F526F8" w:rsidRPr="00F526F8">
        <w:rPr>
          <w:i/>
          <w:iCs/>
        </w:rPr>
        <w:t>famiglia</w:t>
      </w:r>
      <w:r w:rsidR="00F526F8" w:rsidRPr="00F526F8">
        <w:t xml:space="preserve">, </w:t>
      </w:r>
      <w:r w:rsidR="00F526F8" w:rsidRPr="00F526F8">
        <w:rPr>
          <w:i/>
          <w:iCs/>
        </w:rPr>
        <w:t>figli</w:t>
      </w:r>
      <w:r w:rsidR="00F526F8" w:rsidRPr="00F526F8">
        <w:t xml:space="preserve"> e </w:t>
      </w:r>
      <w:r w:rsidR="00F526F8" w:rsidRPr="00F526F8">
        <w:rPr>
          <w:i/>
          <w:iCs/>
        </w:rPr>
        <w:t>lavoro</w:t>
      </w:r>
      <w:r w:rsidR="00F526F8" w:rsidRPr="00F526F8">
        <w:t xml:space="preserve">; </w:t>
      </w:r>
      <w:r w:rsidR="00F526F8" w:rsidRPr="00F526F8">
        <w:rPr>
          <w:i/>
          <w:iCs/>
        </w:rPr>
        <w:t>certo</w:t>
      </w:r>
      <w:r w:rsidR="00F526F8" w:rsidRPr="00F526F8">
        <w:t xml:space="preserve">, </w:t>
      </w:r>
      <w:r w:rsidR="00F526F8" w:rsidRPr="00F526F8">
        <w:rPr>
          <w:i/>
          <w:iCs/>
        </w:rPr>
        <w:t>credo</w:t>
      </w:r>
      <w:r w:rsidR="00F526F8" w:rsidRPr="00F526F8">
        <w:t xml:space="preserve">, </w:t>
      </w:r>
      <w:r w:rsidR="00F526F8" w:rsidRPr="00F526F8">
        <w:rPr>
          <w:i/>
          <w:iCs/>
        </w:rPr>
        <w:t>Dio</w:t>
      </w:r>
      <w:r w:rsidR="00F526F8" w:rsidRPr="00F526F8">
        <w:t xml:space="preserve">, </w:t>
      </w:r>
      <w:r w:rsidR="00F526F8" w:rsidRPr="00F526F8">
        <w:rPr>
          <w:i/>
          <w:iCs/>
        </w:rPr>
        <w:t>felicità</w:t>
      </w:r>
      <w:r w:rsidR="00F526F8" w:rsidRPr="00F526F8">
        <w:t xml:space="preserve"> e </w:t>
      </w:r>
      <w:r w:rsidR="00F526F8" w:rsidRPr="00F526F8">
        <w:rPr>
          <w:i/>
          <w:iCs/>
        </w:rPr>
        <w:t>morte</w:t>
      </w:r>
      <w:r w:rsidR="00F526F8" w:rsidRPr="00F526F8">
        <w:t xml:space="preserve">. Mentre, tra le prime venti frequenze di relazione con la parola morte compaiono le parole </w:t>
      </w:r>
      <w:r w:rsidR="00F526F8" w:rsidRPr="00F526F8">
        <w:rPr>
          <w:i/>
          <w:iCs/>
        </w:rPr>
        <w:t>vita</w:t>
      </w:r>
      <w:r w:rsidR="00F526F8" w:rsidRPr="00F526F8">
        <w:t xml:space="preserve">, </w:t>
      </w:r>
      <w:r w:rsidR="00F526F8" w:rsidRPr="00F526F8">
        <w:rPr>
          <w:i/>
          <w:iCs/>
        </w:rPr>
        <w:t>vivere</w:t>
      </w:r>
      <w:r w:rsidR="00F526F8" w:rsidRPr="00F526F8">
        <w:t xml:space="preserve"> e </w:t>
      </w:r>
      <w:r w:rsidR="00F526F8" w:rsidRPr="00F526F8">
        <w:rPr>
          <w:i/>
          <w:iCs/>
        </w:rPr>
        <w:t>morire</w:t>
      </w:r>
      <w:r w:rsidR="00F526F8" w:rsidRPr="00F526F8">
        <w:t xml:space="preserve">; </w:t>
      </w:r>
      <w:r w:rsidR="00F526F8" w:rsidRPr="00F526F8">
        <w:rPr>
          <w:i/>
          <w:iCs/>
        </w:rPr>
        <w:t>noi</w:t>
      </w:r>
      <w:r w:rsidR="00F526F8" w:rsidRPr="00F526F8">
        <w:t xml:space="preserve">, </w:t>
      </w:r>
      <w:r w:rsidR="00F526F8" w:rsidRPr="00F526F8">
        <w:rPr>
          <w:i/>
          <w:iCs/>
        </w:rPr>
        <w:t>persona</w:t>
      </w:r>
      <w:r w:rsidR="00F526F8" w:rsidRPr="00F526F8">
        <w:t xml:space="preserve">, </w:t>
      </w:r>
      <w:r w:rsidR="00F526F8" w:rsidRPr="00F526F8">
        <w:rPr>
          <w:i/>
          <w:iCs/>
        </w:rPr>
        <w:t>passaggio</w:t>
      </w:r>
      <w:r w:rsidR="00F526F8" w:rsidRPr="00F526F8">
        <w:t xml:space="preserve">; </w:t>
      </w:r>
      <w:r w:rsidR="00F526F8" w:rsidRPr="00F526F8">
        <w:rPr>
          <w:i/>
          <w:iCs/>
        </w:rPr>
        <w:t>pensare</w:t>
      </w:r>
      <w:r w:rsidR="00F526F8" w:rsidRPr="00F526F8">
        <w:t xml:space="preserve">, </w:t>
      </w:r>
      <w:r w:rsidR="00F526F8" w:rsidRPr="00F526F8">
        <w:rPr>
          <w:i/>
          <w:iCs/>
        </w:rPr>
        <w:t>accettare</w:t>
      </w:r>
      <w:r w:rsidR="00F526F8" w:rsidRPr="00F526F8">
        <w:t xml:space="preserve">, </w:t>
      </w:r>
      <w:r w:rsidR="00F526F8" w:rsidRPr="00F526F8">
        <w:rPr>
          <w:i/>
          <w:iCs/>
        </w:rPr>
        <w:t>spaventare</w:t>
      </w:r>
      <w:r w:rsidR="00F526F8" w:rsidRPr="00F526F8">
        <w:t xml:space="preserve">, </w:t>
      </w:r>
      <w:r w:rsidR="00F526F8" w:rsidRPr="00F526F8">
        <w:rPr>
          <w:i/>
          <w:iCs/>
        </w:rPr>
        <w:t>soffrire</w:t>
      </w:r>
      <w:r w:rsidR="00F526F8" w:rsidRPr="00F526F8">
        <w:t xml:space="preserve">; </w:t>
      </w:r>
      <w:r w:rsidR="00F526F8" w:rsidRPr="00F526F8">
        <w:rPr>
          <w:i/>
          <w:iCs/>
        </w:rPr>
        <w:t>argomento</w:t>
      </w:r>
      <w:r w:rsidR="00F526F8" w:rsidRPr="00F526F8">
        <w:t xml:space="preserve">, </w:t>
      </w:r>
      <w:r w:rsidR="00F526F8" w:rsidRPr="00F526F8">
        <w:rPr>
          <w:i/>
          <w:iCs/>
        </w:rPr>
        <w:t>terreno</w:t>
      </w:r>
      <w:r w:rsidR="00F526F8" w:rsidRPr="00F526F8">
        <w:t xml:space="preserve">, </w:t>
      </w:r>
      <w:r w:rsidR="00F526F8" w:rsidRPr="00F526F8">
        <w:rPr>
          <w:i/>
          <w:iCs/>
        </w:rPr>
        <w:t>credo</w:t>
      </w:r>
      <w:r w:rsidR="00F526F8" w:rsidRPr="00F526F8">
        <w:t xml:space="preserve">, </w:t>
      </w:r>
      <w:r w:rsidR="00F526F8" w:rsidRPr="00F526F8">
        <w:rPr>
          <w:i/>
          <w:iCs/>
        </w:rPr>
        <w:t>anima</w:t>
      </w:r>
      <w:r w:rsidR="00F526F8" w:rsidRPr="00F526F8">
        <w:t xml:space="preserve"> e </w:t>
      </w:r>
      <w:r w:rsidR="00F526F8" w:rsidRPr="00F526F8">
        <w:rPr>
          <w:i/>
          <w:iCs/>
        </w:rPr>
        <w:t>paradiso</w:t>
      </w:r>
      <w:r w:rsidR="00F526F8" w:rsidRPr="00F526F8">
        <w:t xml:space="preserve">; </w:t>
      </w:r>
      <w:r w:rsidR="00F526F8" w:rsidRPr="00F526F8">
        <w:rPr>
          <w:i/>
          <w:iCs/>
        </w:rPr>
        <w:t>malattia</w:t>
      </w:r>
      <w:r w:rsidR="00F526F8" w:rsidRPr="00F526F8">
        <w:t xml:space="preserve">, </w:t>
      </w:r>
      <w:r w:rsidR="00F526F8" w:rsidRPr="00F526F8">
        <w:rPr>
          <w:i/>
          <w:iCs/>
        </w:rPr>
        <w:t>sofferenza</w:t>
      </w:r>
      <w:r w:rsidR="00F526F8" w:rsidRPr="00F526F8">
        <w:t xml:space="preserve">, </w:t>
      </w:r>
      <w:r w:rsidR="00F526F8" w:rsidRPr="00F526F8">
        <w:rPr>
          <w:i/>
          <w:iCs/>
        </w:rPr>
        <w:t>pena</w:t>
      </w:r>
      <w:r w:rsidR="00F526F8" w:rsidRPr="00F526F8">
        <w:t xml:space="preserve">, </w:t>
      </w:r>
      <w:r w:rsidR="00F526F8" w:rsidRPr="00F526F8">
        <w:rPr>
          <w:i/>
          <w:iCs/>
        </w:rPr>
        <w:t>dolore</w:t>
      </w:r>
      <w:r w:rsidR="00F526F8" w:rsidRPr="00F526F8">
        <w:t xml:space="preserve"> e </w:t>
      </w:r>
      <w:r w:rsidR="00F526F8" w:rsidRPr="00F526F8">
        <w:rPr>
          <w:i/>
          <w:iCs/>
        </w:rPr>
        <w:t>paura</w:t>
      </w:r>
      <w:r w:rsidR="00F526F8" w:rsidRPr="00F526F8">
        <w:t xml:space="preserve">. </w:t>
      </w:r>
    </w:p>
    <w:p w14:paraId="7034FE45" w14:textId="600EE997" w:rsidR="00F526F8" w:rsidRDefault="00F526F8" w:rsidP="00F526F8">
      <w:pPr>
        <w:jc w:val="both"/>
      </w:pPr>
      <w:r w:rsidRPr="00F526F8">
        <w:t xml:space="preserve">Il confronto delle analisi delle co-occorrenze mostra il legame tra vita e morte ma ci permette anche di sottolineare le altre parole comuni nei due discorsi. Oltre a </w:t>
      </w:r>
      <w:r w:rsidRPr="00F526F8">
        <w:rPr>
          <w:i/>
          <w:iCs/>
        </w:rPr>
        <w:t>noi</w:t>
      </w:r>
      <w:r w:rsidRPr="00F526F8">
        <w:t xml:space="preserve">, </w:t>
      </w:r>
      <w:r w:rsidRPr="00F526F8">
        <w:rPr>
          <w:i/>
          <w:iCs/>
        </w:rPr>
        <w:t xml:space="preserve">persona </w:t>
      </w:r>
      <w:r w:rsidRPr="00F526F8">
        <w:t xml:space="preserve">e </w:t>
      </w:r>
      <w:r w:rsidRPr="00F526F8">
        <w:rPr>
          <w:i/>
          <w:iCs/>
        </w:rPr>
        <w:t>vivere</w:t>
      </w:r>
      <w:r w:rsidRPr="00F526F8">
        <w:t xml:space="preserve">, tra le venti parole più usate nei discorsi sulla vita e sulla morte emerge la parola </w:t>
      </w:r>
      <w:r w:rsidRPr="00F526F8">
        <w:rPr>
          <w:i/>
          <w:iCs/>
        </w:rPr>
        <w:t>credo</w:t>
      </w:r>
      <w:r w:rsidRPr="00F526F8">
        <w:t xml:space="preserve">. </w:t>
      </w:r>
    </w:p>
    <w:p w14:paraId="65D69A17" w14:textId="1D0A2531" w:rsidR="00F526F8" w:rsidRPr="00F526F8" w:rsidRDefault="00B327A8" w:rsidP="00F526F8">
      <w:pPr>
        <w:jc w:val="both"/>
      </w:pPr>
      <w:r>
        <w:t>L</w:t>
      </w:r>
      <w:r w:rsidR="00F526F8" w:rsidRPr="00F526F8">
        <w:t xml:space="preserve">e parole </w:t>
      </w:r>
      <w:r w:rsidR="00F526F8" w:rsidRPr="00F526F8">
        <w:rPr>
          <w:i/>
          <w:iCs/>
        </w:rPr>
        <w:t>vita</w:t>
      </w:r>
      <w:r w:rsidR="00F526F8" w:rsidRPr="00F526F8">
        <w:t xml:space="preserve">, </w:t>
      </w:r>
      <w:r w:rsidR="00F526F8" w:rsidRPr="00F526F8">
        <w:rPr>
          <w:i/>
          <w:iCs/>
        </w:rPr>
        <w:t>morte</w:t>
      </w:r>
      <w:r w:rsidR="00F526F8" w:rsidRPr="00F526F8">
        <w:t xml:space="preserve"> e </w:t>
      </w:r>
      <w:r w:rsidR="00F526F8" w:rsidRPr="00F526F8">
        <w:rPr>
          <w:i/>
          <w:iCs/>
        </w:rPr>
        <w:t>credo</w:t>
      </w:r>
      <w:r w:rsidR="00F526F8" w:rsidRPr="00F526F8">
        <w:t xml:space="preserve"> appaiono congiuntamente quando i discorsi degli intervistati riguardano le credenze sulla vita dopo la morte. Con le loro parole, gli intervistati implicitamente cercano di rispondere alla domanda «c’è vita dopo la morte?» e usano la religione per rispondere positivamente o negativamente alla domanda. </w:t>
      </w:r>
    </w:p>
    <w:p w14:paraId="2C9D806A" w14:textId="33DAE5C7" w:rsidR="006F6D63" w:rsidRDefault="00F526F8" w:rsidP="00C131A6">
      <w:pPr>
        <w:jc w:val="both"/>
      </w:pPr>
      <w:r w:rsidRPr="00F526F8">
        <w:t xml:space="preserve">Per molto tempo gli studiosi nel campo delle scienze sociali hanno discusso, anche vivacemente, a proposito del ruolo della religione nelle nostre società. Alcuni di loro hanno sostenuto che questo ruolo è destinato a ridursi, in particolare nelle società più ricche e sviluppate. </w:t>
      </w:r>
      <w:bookmarkStart w:id="0" w:name="_Hlk45810455"/>
      <w:r w:rsidRPr="00F526F8">
        <w:t xml:space="preserve">Eppure, gli stralci di intervista riportati e le analisi delle co-occorrenze presentate mostrano che l’esperienza religiosa si propone ancora come una risposta adeguata a fare intravedere un percorso che traduce in sensatezza ciò che appare insensato, in ordine ciò che appare casuale, in sicurezza ciò che è a rischio. Credere che la morte non sia la fine di tutto, che la sofferenza abbia un senso, abbassa il livello di paura dei soggetti intervistati. Per gli intervistati la religione </w:t>
      </w:r>
      <w:r w:rsidR="00E9315A">
        <w:t xml:space="preserve">ha </w:t>
      </w:r>
      <w:r w:rsidRPr="00F526F8">
        <w:t>una funzione interpretativa; rappresenta una risorsa di significati che consente di tenere sotto controllo il mondo delle angosce e delle paure, delle speranze e dei bisogni esistenziali</w:t>
      </w:r>
      <w:r w:rsidR="00B327A8">
        <w:t xml:space="preserve">. </w:t>
      </w:r>
      <w:bookmarkEnd w:id="0"/>
    </w:p>
    <w:sectPr w:rsidR="006F6D63" w:rsidSect="00C131A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53"/>
    <w:rsid w:val="00603C72"/>
    <w:rsid w:val="006F6D63"/>
    <w:rsid w:val="00885417"/>
    <w:rsid w:val="00904B53"/>
    <w:rsid w:val="00B106D3"/>
    <w:rsid w:val="00B327A8"/>
    <w:rsid w:val="00C131A6"/>
    <w:rsid w:val="00E9315A"/>
    <w:rsid w:val="00F5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9FFB"/>
  <w15:chartTrackingRefBased/>
  <w15:docId w15:val="{4F0B9353-D4DB-4AA3-B28E-781E0A35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Saracino</dc:creator>
  <cp:keywords/>
  <dc:description/>
  <cp:lastModifiedBy>Barbara Saracino</cp:lastModifiedBy>
  <cp:revision>2</cp:revision>
  <dcterms:created xsi:type="dcterms:W3CDTF">2021-03-09T16:57:00Z</dcterms:created>
  <dcterms:modified xsi:type="dcterms:W3CDTF">2021-03-10T11:15:00Z</dcterms:modified>
</cp:coreProperties>
</file>