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B282B" w14:textId="1F36DF6B" w:rsidR="00FE5EA6" w:rsidRDefault="00FD12E4" w:rsidP="00FD12E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97447D">
        <w:rPr>
          <w:rFonts w:ascii="Times New Roman" w:hAnsi="Times New Roman" w:cs="Times New Roman"/>
          <w:i/>
          <w:sz w:val="24"/>
          <w:szCs w:val="24"/>
        </w:rPr>
        <w:t>Generazioni e religiosità: riflessioni a partire dai lessici</w:t>
      </w:r>
      <w:r>
        <w:rPr>
          <w:rFonts w:ascii="Times New Roman" w:hAnsi="Times New Roman" w:cs="Times New Roman"/>
          <w:i/>
          <w:sz w:val="24"/>
          <w:szCs w:val="24"/>
        </w:rPr>
        <w:t xml:space="preserve"> peculiari</w:t>
      </w:r>
    </w:p>
    <w:p w14:paraId="1725DA19" w14:textId="58937AD5" w:rsidR="00732671" w:rsidRDefault="00732671" w:rsidP="00FD12E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 Augusto Cocorullo</w:t>
      </w:r>
    </w:p>
    <w:p w14:paraId="533A5D3C" w14:textId="77777777" w:rsidR="00FD12E4" w:rsidRPr="00516384" w:rsidRDefault="00FD12E4" w:rsidP="00FD12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discorso sulla religione trova oggi ampio spazio nella letteratura sociologica nazionale e internazionale anche in ragione degli evidenti mutamenti che hanno coinvolto le nuove generazioni nel loro rapportarsi con la fede in generale, a prescindere dunque da uno specifico credo religioso (Garelli, 2016; Bichi e Bignardi 2016). Ne emerge un quadro complesso e sfaccettato, che porta a riconsiderare le classiche categorie utilizzate fino a qualche decennio fa nell’analisi e nella descrizione delle forme della religiosità in un’ottica intergenerazionale (Amaturo </w:t>
      </w:r>
      <w:r w:rsidRPr="00262883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, 2019; Ruspini, 2019). </w:t>
      </w:r>
    </w:p>
    <w:p w14:paraId="00D86BAB" w14:textId="55A77A14" w:rsidR="00FD12E4" w:rsidRDefault="00FD12E4" w:rsidP="00FD12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638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questo capitolo</w:t>
      </w:r>
      <w:r w:rsidRPr="00516384">
        <w:rPr>
          <w:rFonts w:ascii="Times New Roman" w:hAnsi="Times New Roman" w:cs="Times New Roman"/>
          <w:sz w:val="24"/>
          <w:szCs w:val="24"/>
        </w:rPr>
        <w:t xml:space="preserve"> sono stati </w:t>
      </w:r>
      <w:r>
        <w:rPr>
          <w:rFonts w:ascii="Times New Roman" w:hAnsi="Times New Roman" w:cs="Times New Roman"/>
          <w:sz w:val="24"/>
          <w:szCs w:val="24"/>
        </w:rPr>
        <w:t xml:space="preserve">analizzati </w:t>
      </w:r>
      <w:r w:rsidRPr="00516384">
        <w:rPr>
          <w:rFonts w:ascii="Times New Roman" w:hAnsi="Times New Roman" w:cs="Times New Roman"/>
          <w:sz w:val="24"/>
          <w:szCs w:val="24"/>
        </w:rPr>
        <w:t>i lessici di frequenza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51D0">
        <w:t xml:space="preserve"> </w:t>
      </w:r>
      <w:r w:rsidRPr="006C51D0">
        <w:rPr>
          <w:rFonts w:ascii="Times New Roman" w:hAnsi="Times New Roman" w:cs="Times New Roman"/>
          <w:sz w:val="24"/>
          <w:szCs w:val="24"/>
        </w:rPr>
        <w:t xml:space="preserve">in altri termini definiti </w:t>
      </w:r>
      <w:r w:rsidRPr="006C51D0">
        <w:rPr>
          <w:rFonts w:ascii="Times New Roman" w:hAnsi="Times New Roman" w:cs="Times New Roman"/>
          <w:i/>
          <w:sz w:val="24"/>
          <w:szCs w:val="24"/>
        </w:rPr>
        <w:t>linguaggi peculiari</w:t>
      </w:r>
      <w:r w:rsidRPr="006C51D0">
        <w:rPr>
          <w:rFonts w:ascii="Times New Roman" w:hAnsi="Times New Roman" w:cs="Times New Roman"/>
          <w:sz w:val="24"/>
          <w:szCs w:val="24"/>
        </w:rPr>
        <w:t xml:space="preserve"> (Faggiano, 201</w:t>
      </w:r>
      <w:r>
        <w:rPr>
          <w:rFonts w:ascii="Times New Roman" w:hAnsi="Times New Roman" w:cs="Times New Roman"/>
          <w:sz w:val="24"/>
          <w:szCs w:val="24"/>
        </w:rPr>
        <w:t>6; Punziano, 2020),</w:t>
      </w:r>
      <w:r w:rsidRPr="006C51D0">
        <w:rPr>
          <w:rFonts w:ascii="Times New Roman" w:hAnsi="Times New Roman" w:cs="Times New Roman"/>
          <w:sz w:val="24"/>
          <w:szCs w:val="24"/>
        </w:rPr>
        <w:t xml:space="preserve"> </w:t>
      </w:r>
      <w:r w:rsidRPr="00516384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ognuna delle variabili </w:t>
      </w:r>
      <w:r w:rsidRPr="006C51D0">
        <w:rPr>
          <w:rFonts w:ascii="Times New Roman" w:hAnsi="Times New Roman" w:cs="Times New Roman"/>
          <w:sz w:val="24"/>
          <w:szCs w:val="24"/>
        </w:rPr>
        <w:t xml:space="preserve">– e delle conseguenti modalità a queste associate – </w:t>
      </w:r>
      <w:r>
        <w:rPr>
          <w:rFonts w:ascii="Times New Roman" w:hAnsi="Times New Roman" w:cs="Times New Roman"/>
          <w:sz w:val="24"/>
          <w:szCs w:val="24"/>
        </w:rPr>
        <w:t xml:space="preserve">considerate nella fase iniziale di campionamento </w:t>
      </w:r>
      <w:r w:rsidRPr="00516384">
        <w:rPr>
          <w:rFonts w:ascii="Times New Roman" w:hAnsi="Times New Roman" w:cs="Times New Roman"/>
          <w:sz w:val="24"/>
          <w:szCs w:val="24"/>
        </w:rPr>
        <w:t xml:space="preserve">(genere, classi d’età, </w:t>
      </w:r>
      <w:r>
        <w:rPr>
          <w:rFonts w:ascii="Times New Roman" w:hAnsi="Times New Roman" w:cs="Times New Roman"/>
          <w:sz w:val="24"/>
          <w:szCs w:val="24"/>
        </w:rPr>
        <w:t xml:space="preserve">collocazione territoriale e </w:t>
      </w:r>
      <w:r w:rsidRPr="00516384">
        <w:rPr>
          <w:rFonts w:ascii="Times New Roman" w:hAnsi="Times New Roman" w:cs="Times New Roman"/>
          <w:sz w:val="24"/>
          <w:szCs w:val="24"/>
        </w:rPr>
        <w:t>titolo di studio)</w:t>
      </w:r>
      <w:r>
        <w:rPr>
          <w:rFonts w:ascii="Times New Roman" w:hAnsi="Times New Roman" w:cs="Times New Roman"/>
          <w:sz w:val="24"/>
          <w:szCs w:val="24"/>
        </w:rPr>
        <w:t>. I lessici prodotti sono stati</w:t>
      </w:r>
      <w:r w:rsidRPr="00516384">
        <w:rPr>
          <w:rFonts w:ascii="Times New Roman" w:hAnsi="Times New Roman" w:cs="Times New Roman"/>
          <w:sz w:val="24"/>
          <w:szCs w:val="24"/>
        </w:rPr>
        <w:t xml:space="preserve"> messi a confronto con il corpus generale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16384">
        <w:rPr>
          <w:rFonts w:ascii="Times New Roman" w:hAnsi="Times New Roman" w:cs="Times New Roman"/>
          <w:sz w:val="24"/>
          <w:szCs w:val="24"/>
        </w:rPr>
        <w:t>somma di tutti i singoli testi analizzati e assunto quale standard di comparazione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16384">
        <w:rPr>
          <w:rFonts w:ascii="Times New Roman" w:hAnsi="Times New Roman" w:cs="Times New Roman"/>
          <w:sz w:val="24"/>
          <w:szCs w:val="24"/>
        </w:rPr>
        <w:t xml:space="preserve"> per valutare le variazioni nei diversi sottoinsiemi generati dalle categorie considerate. </w:t>
      </w:r>
    </w:p>
    <w:p w14:paraId="5FB8803B" w14:textId="77777777" w:rsidR="00732671" w:rsidRDefault="00FD12E4" w:rsidP="00732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36EF">
        <w:rPr>
          <w:rFonts w:ascii="Times New Roman" w:hAnsi="Times New Roman" w:cs="Times New Roman"/>
          <w:sz w:val="24"/>
          <w:szCs w:val="24"/>
        </w:rPr>
        <w:t xml:space="preserve">A partire da questa descrizione sulla distribuzione delle forme lessicali tra le modalità caratterizzanti il campione indagato, la successiva </w:t>
      </w:r>
      <w:r w:rsidRPr="00516384">
        <w:rPr>
          <w:rFonts w:ascii="Times New Roman" w:hAnsi="Times New Roman" w:cs="Times New Roman"/>
          <w:sz w:val="24"/>
          <w:szCs w:val="24"/>
        </w:rPr>
        <w:t xml:space="preserve">analisi delle occorrenze ha seguìto due criteri. In un primo momento sono state analizzate le forme con maggiore frequenza nei lessici </w:t>
      </w:r>
      <w:r w:rsidRPr="00974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specifici </w:t>
      </w:r>
      <w:r w:rsidRPr="00516384">
        <w:rPr>
          <w:rFonts w:ascii="Times New Roman" w:hAnsi="Times New Roman" w:cs="Times New Roman"/>
          <w:sz w:val="24"/>
          <w:szCs w:val="24"/>
        </w:rPr>
        <w:t>singolarmente presi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36EF">
        <w:rPr>
          <w:rFonts w:ascii="Times New Roman" w:hAnsi="Times New Roman" w:cs="Times New Roman"/>
          <w:sz w:val="24"/>
          <w:szCs w:val="24"/>
        </w:rPr>
        <w:t xml:space="preserve">al fine di comparare gli andamenti tra i diversi sotto-insiemi. </w:t>
      </w:r>
      <w:r w:rsidRPr="00516384">
        <w:rPr>
          <w:rFonts w:ascii="Times New Roman" w:hAnsi="Times New Roman" w:cs="Times New Roman"/>
          <w:sz w:val="24"/>
          <w:szCs w:val="24"/>
        </w:rPr>
        <w:t xml:space="preserve"> In seguito, si è visto come e secondo quale posizionamento le forme del lessico </w:t>
      </w:r>
      <w:r>
        <w:rPr>
          <w:rFonts w:ascii="Times New Roman" w:hAnsi="Times New Roman" w:cs="Times New Roman"/>
          <w:sz w:val="24"/>
          <w:szCs w:val="24"/>
        </w:rPr>
        <w:t xml:space="preserve">contenute nel </w:t>
      </w:r>
      <w:r w:rsidRPr="001836EF">
        <w:rPr>
          <w:rFonts w:ascii="Times New Roman" w:hAnsi="Times New Roman" w:cs="Times New Roman"/>
          <w:i/>
          <w:sz w:val="24"/>
          <w:szCs w:val="24"/>
        </w:rPr>
        <w:t>corpus generale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384">
        <w:rPr>
          <w:rFonts w:ascii="Times New Roman" w:hAnsi="Times New Roman" w:cs="Times New Roman"/>
          <w:sz w:val="24"/>
          <w:szCs w:val="24"/>
        </w:rPr>
        <w:t>si distribuiscono nei lessici specifici, evidenziando eventuali termini presenti solo nei lessici specifici e dunque tipici di quella particolare categoria di soggetti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36EF">
        <w:rPr>
          <w:rFonts w:ascii="Times New Roman" w:hAnsi="Times New Roman" w:cs="Times New Roman"/>
          <w:sz w:val="24"/>
          <w:szCs w:val="24"/>
        </w:rPr>
        <w:t xml:space="preserve">al fine di mettere in evidenza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836EF">
        <w:rPr>
          <w:rFonts w:ascii="Times New Roman" w:hAnsi="Times New Roman" w:cs="Times New Roman"/>
          <w:sz w:val="24"/>
          <w:szCs w:val="24"/>
        </w:rPr>
        <w:t>li elementi caratterizzanti dei linguaggi peculiari rintracciati.</w:t>
      </w:r>
      <w:r w:rsidRPr="005163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9CC18" w14:textId="2890530F" w:rsidR="00FD12E4" w:rsidRPr="00732671" w:rsidRDefault="00FD12E4" w:rsidP="007326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Analizzando il lessico generale nel suo insieme, è possibile notare come</w:t>
      </w:r>
      <w:r w:rsidRPr="0050638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06388">
        <w:rPr>
          <w:rFonts w:ascii="Times New Roman" w:hAnsi="Times New Roman" w:cs="Times New Roman"/>
          <w:sz w:val="24"/>
          <w:szCs w:val="24"/>
        </w:rPr>
        <w:t>n primo gruppo di form</w:t>
      </w:r>
      <w:r>
        <w:rPr>
          <w:rFonts w:ascii="Times New Roman" w:hAnsi="Times New Roman" w:cs="Times New Roman"/>
          <w:sz w:val="24"/>
          <w:szCs w:val="24"/>
        </w:rPr>
        <w:t>e sembri</w:t>
      </w:r>
      <w:r w:rsidRPr="00506388">
        <w:rPr>
          <w:rFonts w:ascii="Times New Roman" w:hAnsi="Times New Roman" w:cs="Times New Roman"/>
          <w:sz w:val="24"/>
          <w:szCs w:val="24"/>
        </w:rPr>
        <w:t xml:space="preserve"> afferire alla sfera della </w:t>
      </w:r>
      <w:r w:rsidRPr="00506388">
        <w:rPr>
          <w:rFonts w:ascii="Times New Roman" w:hAnsi="Times New Roman" w:cs="Times New Roman"/>
          <w:i/>
          <w:sz w:val="24"/>
          <w:szCs w:val="24"/>
        </w:rPr>
        <w:t>percezione</w:t>
      </w:r>
      <w:r w:rsidRPr="00506388">
        <w:rPr>
          <w:rFonts w:ascii="Times New Roman" w:hAnsi="Times New Roman" w:cs="Times New Roman"/>
          <w:sz w:val="24"/>
          <w:szCs w:val="24"/>
        </w:rPr>
        <w:t xml:space="preserve"> – sia essa concreta</w:t>
      </w:r>
      <w:r w:rsidRPr="00516384">
        <w:rPr>
          <w:rFonts w:ascii="Times New Roman" w:hAnsi="Times New Roman" w:cs="Times New Roman"/>
          <w:sz w:val="24"/>
          <w:szCs w:val="24"/>
        </w:rPr>
        <w:t xml:space="preserve"> o figurata – quale condizione necessaria all’essere umano per poter esperire la realtà circostante e dunque collocarsi in essa</w:t>
      </w:r>
      <w:r w:rsidR="00732671">
        <w:rPr>
          <w:rFonts w:ascii="Times New Roman" w:hAnsi="Times New Roman" w:cs="Times New Roman"/>
          <w:sz w:val="24"/>
          <w:szCs w:val="24"/>
        </w:rPr>
        <w:t xml:space="preserve">. </w:t>
      </w:r>
      <w:r w:rsidRPr="00516384">
        <w:rPr>
          <w:rFonts w:ascii="Times New Roman" w:hAnsi="Times New Roman" w:cs="Times New Roman"/>
          <w:sz w:val="24"/>
          <w:szCs w:val="24"/>
        </w:rPr>
        <w:t>Un secondo gruppo di forme si focalizza sulla dimen</w:t>
      </w:r>
      <w:r w:rsidRPr="00516384">
        <w:rPr>
          <w:rFonts w:ascii="Times New Roman" w:hAnsi="Times New Roman" w:cs="Times New Roman"/>
          <w:sz w:val="24"/>
          <w:szCs w:val="24"/>
        </w:rPr>
        <w:lastRenderedPageBreak/>
        <w:t xml:space="preserve">sione della </w:t>
      </w:r>
      <w:r w:rsidRPr="00516384">
        <w:rPr>
          <w:rFonts w:ascii="Times New Roman" w:hAnsi="Times New Roman" w:cs="Times New Roman"/>
          <w:i/>
          <w:sz w:val="24"/>
          <w:szCs w:val="24"/>
        </w:rPr>
        <w:t>vita quotidiana</w:t>
      </w:r>
      <w:r w:rsidRPr="00516384">
        <w:rPr>
          <w:rFonts w:ascii="Times New Roman" w:hAnsi="Times New Roman" w:cs="Times New Roman"/>
          <w:sz w:val="24"/>
          <w:szCs w:val="24"/>
        </w:rPr>
        <w:t>, che, almeno inizialmente, sembra includere solo in modo parziale la sfera religios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516384">
        <w:rPr>
          <w:rFonts w:ascii="Times New Roman" w:hAnsi="Times New Roman" w:cs="Times New Roman"/>
          <w:sz w:val="24"/>
          <w:szCs w:val="24"/>
        </w:rPr>
        <w:t xml:space="preserve">Un terzo ed ultimo gruppo di forme del lessico generale, infine, ha come cardine il tema della </w:t>
      </w:r>
      <w:r w:rsidRPr="00516384">
        <w:rPr>
          <w:rFonts w:ascii="Times New Roman" w:hAnsi="Times New Roman" w:cs="Times New Roman"/>
          <w:i/>
          <w:sz w:val="24"/>
          <w:szCs w:val="24"/>
        </w:rPr>
        <w:t xml:space="preserve">religiosità </w:t>
      </w:r>
      <w:r w:rsidRPr="00516384">
        <w:rPr>
          <w:rFonts w:ascii="Times New Roman" w:hAnsi="Times New Roman" w:cs="Times New Roman"/>
          <w:sz w:val="24"/>
          <w:szCs w:val="24"/>
        </w:rPr>
        <w:t>in senso stretto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2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Proprio per la centralità del tema religioso – fulcro centrale della ricerca da cui questo volume ha avuto origine – un’indagine più approfondita ha riguardato proprio le forme grafiche che afferiscono alla sfera della religiosità, il cui andamento – soprattutto in termini numerici e dunque di occorrenze – è stato analizzato in relazione alla variabile “Classi d’età”, essendo quest’ultima – tra le altre – quella che presenta maggiori differenze tra i lessici delle diverse categorie relativamente, appunto, al tema religioso.</w:t>
      </w:r>
    </w:p>
    <w:p w14:paraId="38D8BB30" w14:textId="6309A284" w:rsidR="00A840FF" w:rsidRDefault="00732671" w:rsidP="00A840F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questo capitolo </w:t>
      </w:r>
      <w:r w:rsidR="00A840FF" w:rsidRPr="00516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definiamo </w:t>
      </w:r>
      <w:r w:rsidR="00A840FF" w:rsidRPr="00516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processo di induzione della fede</w:t>
      </w:r>
      <w:r w:rsidR="00A840FF" w:rsidRPr="00516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fenomeno </w:t>
      </w:r>
      <w:r w:rsidR="00A840FF" w:rsidRPr="00516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riguarda </w:t>
      </w:r>
      <w:r w:rsidR="00A840FF" w:rsidRPr="00516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quanti, vivendo in contesti geografici e sociali caratterizzati da un’ampia presenza di forme visibili e visive di esternazione della fede religiosa e, specularmente, non possedendo quella autonomia di analisi introspettiva e di auto-discernimento valoriale non illogicamente attribuibili a individui che non abbiano raggiunto certi livelli d’istruzione (non necessariamente scolastica), sarebbero più facilmente condizionabili e influenzabili dal </w:t>
      </w:r>
      <w:r w:rsidR="00A840FF" w:rsidRPr="00516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sentire comune</w:t>
      </w:r>
      <w:r w:rsidR="00A840FF" w:rsidRPr="00516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dei propri simili, e quindi predisposti a far propria una visione della fede e della religiosità quale riflesso di quella più diffusa e dunque socialmente più accettabile e desiderata</w:t>
      </w:r>
      <w:r w:rsidR="00A84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(Lanzetti, 1995)</w:t>
      </w:r>
      <w:r w:rsidR="00A840FF" w:rsidRPr="00516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D91F5DA" w14:textId="5492CFB3" w:rsidR="00A840FF" w:rsidRDefault="00732671" w:rsidP="00A840F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partire dall’analisi dei dati si ipotizza </w:t>
      </w:r>
      <w:r w:rsidR="00A840FF" w:rsidRPr="0051638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noltre </w:t>
      </w:r>
      <w:r w:rsidR="00A840FF" w:rsidRPr="00516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 col passare del tempo e il maturare del proprio personale sentimento di appartenenza religiosa, la fede, appunto, assuma un carattere più ascetico e meno diretto, che spingerebbe il soggetto a vivere l’esperienza religiosa nel silenzio dell’interiorità ed evitando dunque di esprimerla o nominarla con parole specifiche e mirate. Un tipo di esperienza religiosa, quella appena descritta, che scaturisce da quello che qui definiamo </w:t>
      </w:r>
      <w:r w:rsidR="00A840FF" w:rsidRPr="005163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processo di interiorizzazione della fede</w:t>
      </w:r>
      <w:r w:rsidR="00A840F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840FF">
        <w:rPr>
          <w:rFonts w:ascii="Times New Roman" w:hAnsi="Times New Roman" w:cs="Times New Roman"/>
          <w:color w:val="000000" w:themeColor="text1"/>
          <w:sz w:val="24"/>
          <w:szCs w:val="24"/>
        </w:rPr>
        <w:t>(Luckmann, 1969)</w:t>
      </w:r>
      <w:r w:rsidR="00A840FF" w:rsidRPr="00516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E03476D" w14:textId="77777777" w:rsidR="00A840FF" w:rsidRDefault="00A840FF" w:rsidP="00A840F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D8133D" w14:textId="77777777" w:rsidR="00A840FF" w:rsidRDefault="00A840FF" w:rsidP="00A840F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266E1B4" wp14:editId="26F7B17D">
            <wp:extent cx="3635115" cy="932721"/>
            <wp:effectExtent l="0" t="12700" r="0" b="20320"/>
            <wp:docPr id="2" name="Diagram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3D8C855" w14:textId="77777777" w:rsidR="00A840FF" w:rsidRPr="00F1188D" w:rsidRDefault="00A840FF" w:rsidP="00A840F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Sembra quindi configurarsi un processo generazionale di trasformazione del sentire religioso che vede le due dimensioni qui considerate: coesistere nella fascia d’età intermedia; differenziarsi nelle fasce d’età estreme. Più nello specifico, la dimensione </w:t>
      </w:r>
      <w:r w:rsidRPr="00884D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trascendente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tende ad assottigliarsi (quantomeno numericamente) tra i 55-74enni, mentre quella </w:t>
      </w:r>
      <w:r w:rsidRPr="004E1D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istituzionale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appare meno rilevante tra i 18-34enni. Si può dunque ipotizzare che ad una fase iniziale di radicamento nel </w:t>
      </w:r>
      <w:r w:rsidRPr="004E1D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trascendente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propria delle giovani generazioni segua un periodo intermedio di </w:t>
      </w:r>
      <w:r w:rsidRPr="004E1D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coesistenza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delle due sfere, che sfocia in una fase finale di </w:t>
      </w:r>
      <w:r w:rsidRPr="004E1DFC">
        <w:rPr>
          <w:rFonts w:ascii="Times New Roman" w:hAnsi="Times New Roman" w:cs="Times New Roman"/>
          <w:color w:val="000000" w:themeColor="text1"/>
          <w:sz w:val="24"/>
          <w:szCs w:val="24"/>
        </w:rPr>
        <w:t>ancoramento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 dimensione </w:t>
      </w:r>
      <w:r w:rsidRPr="004E1D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istituzionale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F357C">
        <w:rPr>
          <w:rFonts w:ascii="Times New Roman" w:hAnsi="Times New Roman" w:cs="Times New Roman"/>
          <w:color w:val="000000" w:themeColor="text1"/>
          <w:sz w:val="24"/>
          <w:szCs w:val="24"/>
        </w:rPr>
        <w:t>(Bichi e Bignardi, 2016; Bartholini, 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Quest’ultimo passaggio, però, non necessariamente sancisce la trasformazione </w:t>
      </w:r>
      <w:r w:rsidRPr="00F118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meccanica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sentire religioso, ma si può connettere al </w:t>
      </w:r>
      <w:r w:rsidRPr="00F118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processo di interiorizzazione della fede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descritto in precedenza, e che, in questo caso, segnerebbe l’avvenuta maturazione dell’agire religioso mediante la piena accettazione delle sue forme esteriori una volta che siano state assorbite e fatte proprie quelle legate all’interiorità (Luckmann, 1969).</w:t>
      </w:r>
    </w:p>
    <w:p w14:paraId="3120B027" w14:textId="77777777" w:rsidR="00A840FF" w:rsidRPr="00FD12E4" w:rsidRDefault="00A840FF" w:rsidP="00FD12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840FF" w:rsidRPr="00FD12E4" w:rsidSect="00516384">
      <w:footerReference w:type="even" r:id="rId13"/>
      <w:footerReference w:type="default" r:id="rId14"/>
      <w:pgSz w:w="11901" w:h="16817"/>
      <w:pgMar w:top="2835" w:right="2608" w:bottom="3515" w:left="2608" w:header="0" w:footer="2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2F191" w14:textId="77777777" w:rsidR="003A2386" w:rsidRDefault="003A2386" w:rsidP="00B878F6">
      <w:pPr>
        <w:spacing w:after="0" w:line="240" w:lineRule="auto"/>
      </w:pPr>
      <w:r>
        <w:separator/>
      </w:r>
    </w:p>
  </w:endnote>
  <w:endnote w:type="continuationSeparator" w:id="0">
    <w:p w14:paraId="0A0A1C35" w14:textId="77777777" w:rsidR="003A2386" w:rsidRDefault="003A2386" w:rsidP="00B8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98381474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248B706" w14:textId="77777777" w:rsidR="00BC19AE" w:rsidRDefault="00BC19AE" w:rsidP="0051638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AA224C4" w14:textId="77777777" w:rsidR="00BC19AE" w:rsidRDefault="00BC19AE" w:rsidP="007172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  <w:rFonts w:ascii="Times New Roman" w:hAnsi="Times New Roman" w:cs="Times New Roman"/>
        <w:i/>
        <w:sz w:val="20"/>
        <w:szCs w:val="20"/>
      </w:rPr>
      <w:id w:val="6330519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6D1BB46" w14:textId="77777777" w:rsidR="00BC19AE" w:rsidRPr="00516384" w:rsidRDefault="00BC19AE" w:rsidP="007E6374">
        <w:pPr>
          <w:pStyle w:val="Pidipagina"/>
          <w:framePr w:wrap="none" w:vAnchor="text" w:hAnchor="margin" w:xAlign="center" w:y="1"/>
          <w:rPr>
            <w:rStyle w:val="Numeropagina"/>
            <w:rFonts w:ascii="Times New Roman" w:hAnsi="Times New Roman" w:cs="Times New Roman"/>
            <w:i/>
            <w:sz w:val="20"/>
            <w:szCs w:val="20"/>
          </w:rPr>
        </w:pPr>
        <w:r w:rsidRPr="00516384">
          <w:rPr>
            <w:rStyle w:val="Numeropagina"/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516384">
          <w:rPr>
            <w:rStyle w:val="Numeropagina"/>
            <w:rFonts w:ascii="Times New Roman" w:hAnsi="Times New Roman" w:cs="Times New Roman"/>
            <w:i/>
            <w:sz w:val="20"/>
            <w:szCs w:val="20"/>
          </w:rPr>
          <w:instrText xml:space="preserve"> PAGE </w:instrText>
        </w:r>
        <w:r w:rsidRPr="00516384">
          <w:rPr>
            <w:rStyle w:val="Numeropagina"/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Pr="00516384">
          <w:rPr>
            <w:rStyle w:val="Numeropagina"/>
            <w:rFonts w:ascii="Times New Roman" w:hAnsi="Times New Roman" w:cs="Times New Roman"/>
            <w:i/>
            <w:noProof/>
            <w:sz w:val="20"/>
            <w:szCs w:val="20"/>
          </w:rPr>
          <w:t>7</w:t>
        </w:r>
        <w:r w:rsidRPr="00516384">
          <w:rPr>
            <w:rStyle w:val="Numeropagina"/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770A3E79" w14:textId="77777777" w:rsidR="00BC19AE" w:rsidRDefault="00BC19AE" w:rsidP="007172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CA104" w14:textId="77777777" w:rsidR="003A2386" w:rsidRDefault="003A2386" w:rsidP="00B878F6">
      <w:pPr>
        <w:spacing w:after="0" w:line="240" w:lineRule="auto"/>
      </w:pPr>
      <w:r>
        <w:separator/>
      </w:r>
    </w:p>
  </w:footnote>
  <w:footnote w:type="continuationSeparator" w:id="0">
    <w:p w14:paraId="1BFA1FC5" w14:textId="77777777" w:rsidR="003A2386" w:rsidRDefault="003A2386" w:rsidP="00B8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B025D"/>
    <w:multiLevelType w:val="hybridMultilevel"/>
    <w:tmpl w:val="A81E1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wMjIyNjKyNDMxtzBT0lEKTi0uzszPAykwrgUAkWovrCwAAAA="/>
  </w:docVars>
  <w:rsids>
    <w:rsidRoot w:val="00CA0572"/>
    <w:rsid w:val="0000199E"/>
    <w:rsid w:val="00001F61"/>
    <w:rsid w:val="0000445C"/>
    <w:rsid w:val="0002209E"/>
    <w:rsid w:val="0002600E"/>
    <w:rsid w:val="00031D1F"/>
    <w:rsid w:val="00042BFA"/>
    <w:rsid w:val="00042C23"/>
    <w:rsid w:val="000474B5"/>
    <w:rsid w:val="000768CB"/>
    <w:rsid w:val="00076B0A"/>
    <w:rsid w:val="000841EB"/>
    <w:rsid w:val="0008787C"/>
    <w:rsid w:val="0009277C"/>
    <w:rsid w:val="000A3B22"/>
    <w:rsid w:val="000A5464"/>
    <w:rsid w:val="000B1826"/>
    <w:rsid w:val="000B1A8F"/>
    <w:rsid w:val="000B43CA"/>
    <w:rsid w:val="000C595E"/>
    <w:rsid w:val="000D2740"/>
    <w:rsid w:val="000E343C"/>
    <w:rsid w:val="000F2EFE"/>
    <w:rsid w:val="00102FF9"/>
    <w:rsid w:val="00105398"/>
    <w:rsid w:val="00110A90"/>
    <w:rsid w:val="001232C4"/>
    <w:rsid w:val="001275BA"/>
    <w:rsid w:val="00133362"/>
    <w:rsid w:val="00133E30"/>
    <w:rsid w:val="00133EAF"/>
    <w:rsid w:val="0014015D"/>
    <w:rsid w:val="00151211"/>
    <w:rsid w:val="00152026"/>
    <w:rsid w:val="001535B0"/>
    <w:rsid w:val="0015365F"/>
    <w:rsid w:val="00163363"/>
    <w:rsid w:val="00175B3C"/>
    <w:rsid w:val="001763D3"/>
    <w:rsid w:val="00180B10"/>
    <w:rsid w:val="001836EF"/>
    <w:rsid w:val="00192360"/>
    <w:rsid w:val="00192BA8"/>
    <w:rsid w:val="00193BDB"/>
    <w:rsid w:val="001964E7"/>
    <w:rsid w:val="001A7663"/>
    <w:rsid w:val="001B13BD"/>
    <w:rsid w:val="001B1EA1"/>
    <w:rsid w:val="001B4446"/>
    <w:rsid w:val="001B5932"/>
    <w:rsid w:val="001B76ED"/>
    <w:rsid w:val="001C1558"/>
    <w:rsid w:val="001C2DC5"/>
    <w:rsid w:val="001D0949"/>
    <w:rsid w:val="001D3B93"/>
    <w:rsid w:val="001E2630"/>
    <w:rsid w:val="001E5651"/>
    <w:rsid w:val="001E6712"/>
    <w:rsid w:val="001E6DD0"/>
    <w:rsid w:val="001F2E71"/>
    <w:rsid w:val="001F5C75"/>
    <w:rsid w:val="001F6F01"/>
    <w:rsid w:val="00216165"/>
    <w:rsid w:val="00222AAF"/>
    <w:rsid w:val="0023594F"/>
    <w:rsid w:val="00255922"/>
    <w:rsid w:val="00262883"/>
    <w:rsid w:val="00262E67"/>
    <w:rsid w:val="00293AA4"/>
    <w:rsid w:val="00296997"/>
    <w:rsid w:val="002A51DB"/>
    <w:rsid w:val="002A7509"/>
    <w:rsid w:val="002C1116"/>
    <w:rsid w:val="002C4754"/>
    <w:rsid w:val="002D1519"/>
    <w:rsid w:val="002D3618"/>
    <w:rsid w:val="002E1C6C"/>
    <w:rsid w:val="002F0A74"/>
    <w:rsid w:val="00303490"/>
    <w:rsid w:val="00306019"/>
    <w:rsid w:val="00307139"/>
    <w:rsid w:val="0031176E"/>
    <w:rsid w:val="003234D9"/>
    <w:rsid w:val="00335EE0"/>
    <w:rsid w:val="00337392"/>
    <w:rsid w:val="00342350"/>
    <w:rsid w:val="00344F27"/>
    <w:rsid w:val="00345BBB"/>
    <w:rsid w:val="00351D1D"/>
    <w:rsid w:val="00353FB5"/>
    <w:rsid w:val="00360D60"/>
    <w:rsid w:val="0036278F"/>
    <w:rsid w:val="00380738"/>
    <w:rsid w:val="00384E02"/>
    <w:rsid w:val="00387366"/>
    <w:rsid w:val="00387BEC"/>
    <w:rsid w:val="003930AA"/>
    <w:rsid w:val="0039368B"/>
    <w:rsid w:val="003A2386"/>
    <w:rsid w:val="003A7F7A"/>
    <w:rsid w:val="003B3243"/>
    <w:rsid w:val="003B3A1C"/>
    <w:rsid w:val="003C306D"/>
    <w:rsid w:val="003C32D6"/>
    <w:rsid w:val="003C447F"/>
    <w:rsid w:val="003D2A96"/>
    <w:rsid w:val="003D38E0"/>
    <w:rsid w:val="003F4D8A"/>
    <w:rsid w:val="00416CA0"/>
    <w:rsid w:val="00423D47"/>
    <w:rsid w:val="00423EFA"/>
    <w:rsid w:val="00425000"/>
    <w:rsid w:val="00430BF3"/>
    <w:rsid w:val="00437EFB"/>
    <w:rsid w:val="00472618"/>
    <w:rsid w:val="00492210"/>
    <w:rsid w:val="004B0CF7"/>
    <w:rsid w:val="004B4721"/>
    <w:rsid w:val="004D3C41"/>
    <w:rsid w:val="004D6A09"/>
    <w:rsid w:val="004D7619"/>
    <w:rsid w:val="004E1DFC"/>
    <w:rsid w:val="004E3257"/>
    <w:rsid w:val="004F2FFD"/>
    <w:rsid w:val="00506388"/>
    <w:rsid w:val="00516384"/>
    <w:rsid w:val="00517C33"/>
    <w:rsid w:val="00521DBA"/>
    <w:rsid w:val="005350CD"/>
    <w:rsid w:val="00536F2A"/>
    <w:rsid w:val="00540731"/>
    <w:rsid w:val="005413C8"/>
    <w:rsid w:val="00542393"/>
    <w:rsid w:val="00544BDD"/>
    <w:rsid w:val="005479D4"/>
    <w:rsid w:val="00547A9A"/>
    <w:rsid w:val="00550BC6"/>
    <w:rsid w:val="0055238A"/>
    <w:rsid w:val="00556DAE"/>
    <w:rsid w:val="00557BF8"/>
    <w:rsid w:val="00561D73"/>
    <w:rsid w:val="00565D08"/>
    <w:rsid w:val="005747A5"/>
    <w:rsid w:val="005802E6"/>
    <w:rsid w:val="00582EFD"/>
    <w:rsid w:val="00583CE6"/>
    <w:rsid w:val="00584365"/>
    <w:rsid w:val="00586D92"/>
    <w:rsid w:val="00594BB7"/>
    <w:rsid w:val="005A7174"/>
    <w:rsid w:val="005C21DD"/>
    <w:rsid w:val="005C41F7"/>
    <w:rsid w:val="005D04B6"/>
    <w:rsid w:val="005D36D8"/>
    <w:rsid w:val="005D58A2"/>
    <w:rsid w:val="005D7A3D"/>
    <w:rsid w:val="005E3385"/>
    <w:rsid w:val="005F3D36"/>
    <w:rsid w:val="005F6442"/>
    <w:rsid w:val="00600AF1"/>
    <w:rsid w:val="0060196C"/>
    <w:rsid w:val="00605323"/>
    <w:rsid w:val="00606013"/>
    <w:rsid w:val="00606F5B"/>
    <w:rsid w:val="00611018"/>
    <w:rsid w:val="00625062"/>
    <w:rsid w:val="00627E77"/>
    <w:rsid w:val="00631E13"/>
    <w:rsid w:val="00646A56"/>
    <w:rsid w:val="00647573"/>
    <w:rsid w:val="00651B4E"/>
    <w:rsid w:val="00662E47"/>
    <w:rsid w:val="006675AE"/>
    <w:rsid w:val="006740C2"/>
    <w:rsid w:val="00674453"/>
    <w:rsid w:val="006768C3"/>
    <w:rsid w:val="00676E97"/>
    <w:rsid w:val="00677401"/>
    <w:rsid w:val="0068261C"/>
    <w:rsid w:val="00687295"/>
    <w:rsid w:val="00697ACC"/>
    <w:rsid w:val="006A0BB3"/>
    <w:rsid w:val="006B460F"/>
    <w:rsid w:val="006C51D0"/>
    <w:rsid w:val="006F00A1"/>
    <w:rsid w:val="0070254A"/>
    <w:rsid w:val="00704140"/>
    <w:rsid w:val="007128F0"/>
    <w:rsid w:val="0071644D"/>
    <w:rsid w:val="00717240"/>
    <w:rsid w:val="00720EB2"/>
    <w:rsid w:val="00722B91"/>
    <w:rsid w:val="00731916"/>
    <w:rsid w:val="00732671"/>
    <w:rsid w:val="00736501"/>
    <w:rsid w:val="0073760E"/>
    <w:rsid w:val="007619FB"/>
    <w:rsid w:val="007636B8"/>
    <w:rsid w:val="007644EC"/>
    <w:rsid w:val="007656AA"/>
    <w:rsid w:val="0076750D"/>
    <w:rsid w:val="00771E98"/>
    <w:rsid w:val="00781311"/>
    <w:rsid w:val="00784A35"/>
    <w:rsid w:val="00790E56"/>
    <w:rsid w:val="007A38D9"/>
    <w:rsid w:val="007B79B6"/>
    <w:rsid w:val="007B7EBD"/>
    <w:rsid w:val="007C2C90"/>
    <w:rsid w:val="007C7D2F"/>
    <w:rsid w:val="007D2DB6"/>
    <w:rsid w:val="007D4F5A"/>
    <w:rsid w:val="007D733F"/>
    <w:rsid w:val="007E6374"/>
    <w:rsid w:val="007F3755"/>
    <w:rsid w:val="007F46A8"/>
    <w:rsid w:val="007F6071"/>
    <w:rsid w:val="007F7104"/>
    <w:rsid w:val="0080077E"/>
    <w:rsid w:val="00804B1D"/>
    <w:rsid w:val="008274EA"/>
    <w:rsid w:val="00831726"/>
    <w:rsid w:val="0083397B"/>
    <w:rsid w:val="00836A51"/>
    <w:rsid w:val="00840EAF"/>
    <w:rsid w:val="0084584B"/>
    <w:rsid w:val="00853BDE"/>
    <w:rsid w:val="0086155A"/>
    <w:rsid w:val="00861B73"/>
    <w:rsid w:val="008672A7"/>
    <w:rsid w:val="00870357"/>
    <w:rsid w:val="00873416"/>
    <w:rsid w:val="008773D5"/>
    <w:rsid w:val="00883EB5"/>
    <w:rsid w:val="00884B4B"/>
    <w:rsid w:val="00884D86"/>
    <w:rsid w:val="00885C52"/>
    <w:rsid w:val="008934DF"/>
    <w:rsid w:val="008A0F2E"/>
    <w:rsid w:val="008A730D"/>
    <w:rsid w:val="008A75CD"/>
    <w:rsid w:val="008B6678"/>
    <w:rsid w:val="008C17CC"/>
    <w:rsid w:val="008C272F"/>
    <w:rsid w:val="008D269E"/>
    <w:rsid w:val="008E21EE"/>
    <w:rsid w:val="008E4FC9"/>
    <w:rsid w:val="008E587A"/>
    <w:rsid w:val="008E7908"/>
    <w:rsid w:val="008F046C"/>
    <w:rsid w:val="008F0C65"/>
    <w:rsid w:val="008F37C3"/>
    <w:rsid w:val="008F3A9E"/>
    <w:rsid w:val="008F7A74"/>
    <w:rsid w:val="00906E10"/>
    <w:rsid w:val="00914A5A"/>
    <w:rsid w:val="00915277"/>
    <w:rsid w:val="00922D2B"/>
    <w:rsid w:val="00925258"/>
    <w:rsid w:val="00932AA9"/>
    <w:rsid w:val="00950E43"/>
    <w:rsid w:val="009513BF"/>
    <w:rsid w:val="00957C2E"/>
    <w:rsid w:val="009607BD"/>
    <w:rsid w:val="00961D0F"/>
    <w:rsid w:val="0096283C"/>
    <w:rsid w:val="009642B5"/>
    <w:rsid w:val="00964DEF"/>
    <w:rsid w:val="00972759"/>
    <w:rsid w:val="0097430D"/>
    <w:rsid w:val="0097447D"/>
    <w:rsid w:val="009A55BD"/>
    <w:rsid w:val="009B3317"/>
    <w:rsid w:val="009B6821"/>
    <w:rsid w:val="009C0174"/>
    <w:rsid w:val="009C3A4A"/>
    <w:rsid w:val="009D05CD"/>
    <w:rsid w:val="009D14C8"/>
    <w:rsid w:val="009D4C14"/>
    <w:rsid w:val="009E13A8"/>
    <w:rsid w:val="009E29AB"/>
    <w:rsid w:val="009F748C"/>
    <w:rsid w:val="00A11274"/>
    <w:rsid w:val="00A12638"/>
    <w:rsid w:val="00A1270C"/>
    <w:rsid w:val="00A12F86"/>
    <w:rsid w:val="00A142C4"/>
    <w:rsid w:val="00A206FE"/>
    <w:rsid w:val="00A315B7"/>
    <w:rsid w:val="00A4381B"/>
    <w:rsid w:val="00A468EA"/>
    <w:rsid w:val="00A5113C"/>
    <w:rsid w:val="00A519C0"/>
    <w:rsid w:val="00A605E4"/>
    <w:rsid w:val="00A61788"/>
    <w:rsid w:val="00A630BB"/>
    <w:rsid w:val="00A63501"/>
    <w:rsid w:val="00A77578"/>
    <w:rsid w:val="00A840FF"/>
    <w:rsid w:val="00A9101C"/>
    <w:rsid w:val="00A92484"/>
    <w:rsid w:val="00AB0EE3"/>
    <w:rsid w:val="00AD6353"/>
    <w:rsid w:val="00AE30AB"/>
    <w:rsid w:val="00AE34CC"/>
    <w:rsid w:val="00B01361"/>
    <w:rsid w:val="00B01FE3"/>
    <w:rsid w:val="00B03AEE"/>
    <w:rsid w:val="00B17328"/>
    <w:rsid w:val="00B20A33"/>
    <w:rsid w:val="00B216D7"/>
    <w:rsid w:val="00B239B1"/>
    <w:rsid w:val="00B3757C"/>
    <w:rsid w:val="00B413AC"/>
    <w:rsid w:val="00B56030"/>
    <w:rsid w:val="00B57A03"/>
    <w:rsid w:val="00B64F96"/>
    <w:rsid w:val="00B661DC"/>
    <w:rsid w:val="00B748DB"/>
    <w:rsid w:val="00B80FC8"/>
    <w:rsid w:val="00B855B6"/>
    <w:rsid w:val="00B8657B"/>
    <w:rsid w:val="00B878F6"/>
    <w:rsid w:val="00BB38DF"/>
    <w:rsid w:val="00BB6EB6"/>
    <w:rsid w:val="00BC19AE"/>
    <w:rsid w:val="00BC2E19"/>
    <w:rsid w:val="00BD7523"/>
    <w:rsid w:val="00BF1851"/>
    <w:rsid w:val="00BF5BE3"/>
    <w:rsid w:val="00C04E1C"/>
    <w:rsid w:val="00C153DA"/>
    <w:rsid w:val="00C257D5"/>
    <w:rsid w:val="00C25FC4"/>
    <w:rsid w:val="00C34EC4"/>
    <w:rsid w:val="00C4128E"/>
    <w:rsid w:val="00C462E3"/>
    <w:rsid w:val="00C47A5C"/>
    <w:rsid w:val="00C50FAD"/>
    <w:rsid w:val="00C537F1"/>
    <w:rsid w:val="00C607B8"/>
    <w:rsid w:val="00C75C6D"/>
    <w:rsid w:val="00C777CD"/>
    <w:rsid w:val="00C83A2D"/>
    <w:rsid w:val="00C85FE9"/>
    <w:rsid w:val="00C90545"/>
    <w:rsid w:val="00C96291"/>
    <w:rsid w:val="00CA0572"/>
    <w:rsid w:val="00CA1973"/>
    <w:rsid w:val="00CA6B05"/>
    <w:rsid w:val="00CA6CFB"/>
    <w:rsid w:val="00CC3612"/>
    <w:rsid w:val="00CD014D"/>
    <w:rsid w:val="00CD2A12"/>
    <w:rsid w:val="00CD4BF5"/>
    <w:rsid w:val="00CD7792"/>
    <w:rsid w:val="00CE634C"/>
    <w:rsid w:val="00CF2D40"/>
    <w:rsid w:val="00CF5517"/>
    <w:rsid w:val="00CF6D85"/>
    <w:rsid w:val="00D04A95"/>
    <w:rsid w:val="00D12BEF"/>
    <w:rsid w:val="00D15A99"/>
    <w:rsid w:val="00D205D1"/>
    <w:rsid w:val="00D21945"/>
    <w:rsid w:val="00D24E7C"/>
    <w:rsid w:val="00D301CE"/>
    <w:rsid w:val="00D31B84"/>
    <w:rsid w:val="00D3355C"/>
    <w:rsid w:val="00D3526D"/>
    <w:rsid w:val="00D4405A"/>
    <w:rsid w:val="00D46149"/>
    <w:rsid w:val="00D504C0"/>
    <w:rsid w:val="00D633E3"/>
    <w:rsid w:val="00D72090"/>
    <w:rsid w:val="00D7535A"/>
    <w:rsid w:val="00D84E35"/>
    <w:rsid w:val="00D94482"/>
    <w:rsid w:val="00D9476D"/>
    <w:rsid w:val="00DA0F0B"/>
    <w:rsid w:val="00DA29FD"/>
    <w:rsid w:val="00DA3731"/>
    <w:rsid w:val="00DB3574"/>
    <w:rsid w:val="00DB471B"/>
    <w:rsid w:val="00DB5BDA"/>
    <w:rsid w:val="00DB75D6"/>
    <w:rsid w:val="00DD6420"/>
    <w:rsid w:val="00DE1986"/>
    <w:rsid w:val="00DE427F"/>
    <w:rsid w:val="00DE7351"/>
    <w:rsid w:val="00DF217D"/>
    <w:rsid w:val="00E04C79"/>
    <w:rsid w:val="00E145AF"/>
    <w:rsid w:val="00E21128"/>
    <w:rsid w:val="00E44F36"/>
    <w:rsid w:val="00E64E78"/>
    <w:rsid w:val="00E74B91"/>
    <w:rsid w:val="00E80E47"/>
    <w:rsid w:val="00E85E66"/>
    <w:rsid w:val="00E9160F"/>
    <w:rsid w:val="00E97F2F"/>
    <w:rsid w:val="00EA13F5"/>
    <w:rsid w:val="00EA67E7"/>
    <w:rsid w:val="00EB33E2"/>
    <w:rsid w:val="00EC4AE1"/>
    <w:rsid w:val="00EC4B5A"/>
    <w:rsid w:val="00EC4F3B"/>
    <w:rsid w:val="00ED3DAC"/>
    <w:rsid w:val="00EE1406"/>
    <w:rsid w:val="00EE3D0C"/>
    <w:rsid w:val="00EE6382"/>
    <w:rsid w:val="00EE6664"/>
    <w:rsid w:val="00EF2678"/>
    <w:rsid w:val="00EF357C"/>
    <w:rsid w:val="00EF53C6"/>
    <w:rsid w:val="00F0532F"/>
    <w:rsid w:val="00F100C9"/>
    <w:rsid w:val="00F1188D"/>
    <w:rsid w:val="00F11C2A"/>
    <w:rsid w:val="00F21F9E"/>
    <w:rsid w:val="00F22DF1"/>
    <w:rsid w:val="00F313EC"/>
    <w:rsid w:val="00F36372"/>
    <w:rsid w:val="00F416DA"/>
    <w:rsid w:val="00F71C0F"/>
    <w:rsid w:val="00F727F8"/>
    <w:rsid w:val="00F80372"/>
    <w:rsid w:val="00F82C57"/>
    <w:rsid w:val="00F84003"/>
    <w:rsid w:val="00F87DD6"/>
    <w:rsid w:val="00F92147"/>
    <w:rsid w:val="00F970C3"/>
    <w:rsid w:val="00FA22C3"/>
    <w:rsid w:val="00FA2618"/>
    <w:rsid w:val="00FA3215"/>
    <w:rsid w:val="00FC2369"/>
    <w:rsid w:val="00FC71C1"/>
    <w:rsid w:val="00FC7D94"/>
    <w:rsid w:val="00FD12E4"/>
    <w:rsid w:val="00FD66F6"/>
    <w:rsid w:val="00FE5EA6"/>
    <w:rsid w:val="00FF0627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C571"/>
  <w15:docId w15:val="{FD38231A-91E9-CE4D-BD19-AADF2486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57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87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8F6"/>
  </w:style>
  <w:style w:type="paragraph" w:styleId="Pidipagina">
    <w:name w:val="footer"/>
    <w:basedOn w:val="Normale"/>
    <w:link w:val="PidipaginaCarattere"/>
    <w:uiPriority w:val="99"/>
    <w:unhideWhenUsed/>
    <w:rsid w:val="00B87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8F6"/>
  </w:style>
  <w:style w:type="table" w:styleId="Grigliatabella">
    <w:name w:val="Table Grid"/>
    <w:basedOn w:val="Tabellanormale"/>
    <w:uiPriority w:val="59"/>
    <w:rsid w:val="005E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2A750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7509"/>
    <w:pPr>
      <w:spacing w:after="0" w:line="240" w:lineRule="auto"/>
      <w:ind w:left="113" w:right="113"/>
      <w:jc w:val="center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7509"/>
    <w:rPr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717240"/>
  </w:style>
  <w:style w:type="character" w:styleId="Rimandocommento">
    <w:name w:val="annotation reference"/>
    <w:basedOn w:val="Carpredefinitoparagrafo"/>
    <w:uiPriority w:val="99"/>
    <w:semiHidden/>
    <w:unhideWhenUsed/>
    <w:rsid w:val="00F100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00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00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00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00C9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E29AB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EA13F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15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03151B-18A6-654B-817A-147B5C62820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it-IT"/>
        </a:p>
      </dgm:t>
    </dgm:pt>
    <dgm:pt modelId="{1229A059-065C-3144-8449-1B16510251AC}">
      <dgm:prSet phldrT="[Testo]" custT="1"/>
      <dgm:spPr/>
      <dgm:t>
        <a:bodyPr/>
        <a:lstStyle/>
        <a:p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Lessico religioso</a:t>
          </a:r>
        </a:p>
      </dgm:t>
    </dgm:pt>
    <dgm:pt modelId="{D658A821-94B8-2B49-BD49-CB346B152220}" type="parTrans" cxnId="{FFCDCDA0-CAD0-FF41-94BD-B661115E2F6F}">
      <dgm:prSet/>
      <dgm:spPr/>
      <dgm:t>
        <a:bodyPr/>
        <a:lstStyle/>
        <a:p>
          <a:endParaRPr lang="it-I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60D919-B86E-6C43-A9FA-1CA92F10B4E8}" type="sibTrans" cxnId="{FFCDCDA0-CAD0-FF41-94BD-B661115E2F6F}">
      <dgm:prSet/>
      <dgm:spPr/>
      <dgm:t>
        <a:bodyPr/>
        <a:lstStyle/>
        <a:p>
          <a:endParaRPr lang="it-I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5FFA52-749D-5340-AD44-E1A4E415B4E9}">
      <dgm:prSet phldrT="[Testo]" custT="1"/>
      <dgm:spPr/>
      <dgm:t>
        <a:bodyPr/>
        <a:lstStyle/>
        <a:p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Dimensione religiosa </a:t>
          </a:r>
          <a:r>
            <a:rPr lang="it-IT" sz="900" b="1" i="1">
              <a:latin typeface="Times New Roman" panose="02020603050405020304" pitchFamily="18" charset="0"/>
              <a:cs typeface="Times New Roman" panose="02020603050405020304" pitchFamily="18" charset="0"/>
            </a:rPr>
            <a:t>trascendente</a:t>
          </a:r>
        </a:p>
      </dgm:t>
    </dgm:pt>
    <dgm:pt modelId="{152D07C3-87F9-0E4C-9075-3A29D30C1D12}" type="parTrans" cxnId="{777DA11B-EE66-454C-8DBF-A365212849AC}">
      <dgm:prSet/>
      <dgm:spPr/>
      <dgm:t>
        <a:bodyPr/>
        <a:lstStyle/>
        <a:p>
          <a:endParaRPr lang="it-I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861546-A919-9D48-B6CA-8B1F833BD9D9}" type="sibTrans" cxnId="{777DA11B-EE66-454C-8DBF-A365212849AC}">
      <dgm:prSet/>
      <dgm:spPr/>
      <dgm:t>
        <a:bodyPr/>
        <a:lstStyle/>
        <a:p>
          <a:endParaRPr lang="it-I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999FAD-E774-E24E-8AF7-2CED7A8D0A32}">
      <dgm:prSet phldrT="[Testo]" custT="1"/>
      <dgm:spPr/>
      <dgm:t>
        <a:bodyPr/>
        <a:lstStyle/>
        <a:p>
          <a:r>
            <a:rPr lang="it-IT" sz="900" i="1">
              <a:latin typeface="Times New Roman" panose="02020603050405020304" pitchFamily="18" charset="0"/>
              <a:cs typeface="Times New Roman" panose="02020603050405020304" pitchFamily="18" charset="0"/>
            </a:rPr>
            <a:t>religione</a:t>
          </a:r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it-IT" sz="900" i="1">
              <a:latin typeface="Times New Roman" panose="02020603050405020304" pitchFamily="18" charset="0"/>
              <a:cs typeface="Times New Roman" panose="02020603050405020304" pitchFamily="18" charset="0"/>
            </a:rPr>
            <a:t>Dio</a:t>
          </a:r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it-IT" sz="900" i="1">
              <a:latin typeface="Times New Roman" panose="02020603050405020304" pitchFamily="18" charset="0"/>
              <a:cs typeface="Times New Roman" panose="02020603050405020304" pitchFamily="18" charset="0"/>
            </a:rPr>
            <a:t>credere</a:t>
          </a:r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it-IT" sz="900" i="1">
              <a:latin typeface="Times New Roman" panose="02020603050405020304" pitchFamily="18" charset="0"/>
              <a:cs typeface="Times New Roman" panose="02020603050405020304" pitchFamily="18" charset="0"/>
            </a:rPr>
            <a:t>pregare</a:t>
          </a:r>
        </a:p>
      </dgm:t>
    </dgm:pt>
    <dgm:pt modelId="{B031A3D0-9FB8-D644-AE99-ECE22F5EEF18}" type="parTrans" cxnId="{889726F3-8721-6246-B4D2-20C80FC4A6F9}">
      <dgm:prSet/>
      <dgm:spPr/>
      <dgm:t>
        <a:bodyPr/>
        <a:lstStyle/>
        <a:p>
          <a:endParaRPr lang="it-I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70880F-5DF4-C542-9359-2AF8DEDE8982}" type="sibTrans" cxnId="{889726F3-8721-6246-B4D2-20C80FC4A6F9}">
      <dgm:prSet/>
      <dgm:spPr/>
      <dgm:t>
        <a:bodyPr/>
        <a:lstStyle/>
        <a:p>
          <a:endParaRPr lang="it-I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8FF0C34-FD91-0E4A-9D73-68E2C618796B}">
      <dgm:prSet phldrT="[Testo]" custT="1"/>
      <dgm:spPr/>
      <dgm:t>
        <a:bodyPr/>
        <a:lstStyle/>
        <a:p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Dimensione religiosa </a:t>
          </a:r>
          <a:r>
            <a:rPr lang="it-IT" sz="900" b="1" i="1">
              <a:latin typeface="Times New Roman" panose="02020603050405020304" pitchFamily="18" charset="0"/>
              <a:cs typeface="Times New Roman" panose="02020603050405020304" pitchFamily="18" charset="0"/>
            </a:rPr>
            <a:t>istituzionale</a:t>
          </a:r>
        </a:p>
      </dgm:t>
    </dgm:pt>
    <dgm:pt modelId="{1E6C3E10-5E57-734C-87C0-18A165F6DA91}" type="parTrans" cxnId="{906C06C3-4562-BA40-8778-65C69D67869F}">
      <dgm:prSet/>
      <dgm:spPr/>
      <dgm:t>
        <a:bodyPr/>
        <a:lstStyle/>
        <a:p>
          <a:endParaRPr lang="it-I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82F5E3-5914-6848-8A52-8E0D5436E0C1}" type="sibTrans" cxnId="{906C06C3-4562-BA40-8778-65C69D67869F}">
      <dgm:prSet/>
      <dgm:spPr/>
      <dgm:t>
        <a:bodyPr/>
        <a:lstStyle/>
        <a:p>
          <a:endParaRPr lang="it-I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892986-4CC1-4B42-9A10-A01F78B17CF5}">
      <dgm:prSet phldrT="[Testo]" custT="1"/>
      <dgm:spPr/>
      <dgm:t>
        <a:bodyPr/>
        <a:lstStyle/>
        <a:p>
          <a:r>
            <a:rPr lang="it-IT" sz="900" i="1">
              <a:latin typeface="Times New Roman" panose="02020603050405020304" pitchFamily="18" charset="0"/>
              <a:cs typeface="Times New Roman" panose="02020603050405020304" pitchFamily="18" charset="0"/>
            </a:rPr>
            <a:t>chiesa</a:t>
          </a:r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it-IT" sz="900" i="1">
              <a:latin typeface="Times New Roman" panose="02020603050405020304" pitchFamily="18" charset="0"/>
              <a:cs typeface="Times New Roman" panose="02020603050405020304" pitchFamily="18" charset="0"/>
            </a:rPr>
            <a:t>papa</a:t>
          </a:r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it-IT" sz="900" i="1">
              <a:latin typeface="Times New Roman" panose="02020603050405020304" pitchFamily="18" charset="0"/>
              <a:cs typeface="Times New Roman" panose="02020603050405020304" pitchFamily="18" charset="0"/>
            </a:rPr>
            <a:t>religioso</a:t>
          </a:r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it-IT" sz="900" i="1">
              <a:latin typeface="Times New Roman" panose="02020603050405020304" pitchFamily="18" charset="0"/>
              <a:cs typeface="Times New Roman" panose="02020603050405020304" pitchFamily="18" charset="0"/>
            </a:rPr>
            <a:t>messa</a:t>
          </a:r>
          <a:r>
            <a:rPr lang="it-IT" sz="9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it-IT" sz="900" i="1">
              <a:latin typeface="Times New Roman" panose="02020603050405020304" pitchFamily="18" charset="0"/>
              <a:cs typeface="Times New Roman" panose="02020603050405020304" pitchFamily="18" charset="0"/>
            </a:rPr>
            <a:t>cattolico</a:t>
          </a:r>
        </a:p>
      </dgm:t>
    </dgm:pt>
    <dgm:pt modelId="{6593191A-4A3D-4F41-97C9-8D69D8FB83E8}" type="parTrans" cxnId="{35A7BD40-0646-524B-B733-3ACD2F8C47F9}">
      <dgm:prSet/>
      <dgm:spPr/>
      <dgm:t>
        <a:bodyPr/>
        <a:lstStyle/>
        <a:p>
          <a:endParaRPr lang="it-I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E7A3EA-12E9-B941-B10B-2C2928117458}" type="sibTrans" cxnId="{35A7BD40-0646-524B-B733-3ACD2F8C47F9}">
      <dgm:prSet/>
      <dgm:spPr/>
      <dgm:t>
        <a:bodyPr/>
        <a:lstStyle/>
        <a:p>
          <a:endParaRPr lang="it-I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91A347-2511-5942-9206-F68164ED997A}" type="pres">
      <dgm:prSet presAssocID="{9803151B-18A6-654B-817A-147B5C62820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C88C759-AAA8-5441-9FE4-859E6EF5576F}" type="pres">
      <dgm:prSet presAssocID="{1229A059-065C-3144-8449-1B16510251AC}" presName="root1" presStyleCnt="0"/>
      <dgm:spPr/>
    </dgm:pt>
    <dgm:pt modelId="{1278E8B2-1A10-5D46-AFA1-1C2C57BFFECA}" type="pres">
      <dgm:prSet presAssocID="{1229A059-065C-3144-8449-1B16510251AC}" presName="LevelOneTextNode" presStyleLbl="node0" presStyleIdx="0" presStyleCnt="1">
        <dgm:presLayoutVars>
          <dgm:chPref val="3"/>
        </dgm:presLayoutVars>
      </dgm:prSet>
      <dgm:spPr/>
    </dgm:pt>
    <dgm:pt modelId="{E3329726-E975-3B48-A0A9-2BC04D2C88AB}" type="pres">
      <dgm:prSet presAssocID="{1229A059-065C-3144-8449-1B16510251AC}" presName="level2hierChild" presStyleCnt="0"/>
      <dgm:spPr/>
    </dgm:pt>
    <dgm:pt modelId="{42A5BA9E-0CB7-DD42-9744-E21F7CEF4AB5}" type="pres">
      <dgm:prSet presAssocID="{152D07C3-87F9-0E4C-9075-3A29D30C1D12}" presName="conn2-1" presStyleLbl="parChTrans1D2" presStyleIdx="0" presStyleCnt="2"/>
      <dgm:spPr/>
    </dgm:pt>
    <dgm:pt modelId="{F2F7CD68-5CB6-5E4D-9117-EC912E30F646}" type="pres">
      <dgm:prSet presAssocID="{152D07C3-87F9-0E4C-9075-3A29D30C1D12}" presName="connTx" presStyleLbl="parChTrans1D2" presStyleIdx="0" presStyleCnt="2"/>
      <dgm:spPr/>
    </dgm:pt>
    <dgm:pt modelId="{94C3B361-F5AE-C34A-AFB5-E2983FFF408E}" type="pres">
      <dgm:prSet presAssocID="{EE5FFA52-749D-5340-AD44-E1A4E415B4E9}" presName="root2" presStyleCnt="0"/>
      <dgm:spPr/>
    </dgm:pt>
    <dgm:pt modelId="{72E74890-B4DA-734D-9A51-AEC7F88A0D9B}" type="pres">
      <dgm:prSet presAssocID="{EE5FFA52-749D-5340-AD44-E1A4E415B4E9}" presName="LevelTwoTextNode" presStyleLbl="node2" presStyleIdx="0" presStyleCnt="2">
        <dgm:presLayoutVars>
          <dgm:chPref val="3"/>
        </dgm:presLayoutVars>
      </dgm:prSet>
      <dgm:spPr/>
    </dgm:pt>
    <dgm:pt modelId="{5DB3479B-1CCA-5C4D-9FF6-29E5CACCD172}" type="pres">
      <dgm:prSet presAssocID="{EE5FFA52-749D-5340-AD44-E1A4E415B4E9}" presName="level3hierChild" presStyleCnt="0"/>
      <dgm:spPr/>
    </dgm:pt>
    <dgm:pt modelId="{85813902-D8E8-6A48-8C13-A104CA55F622}" type="pres">
      <dgm:prSet presAssocID="{B031A3D0-9FB8-D644-AE99-ECE22F5EEF18}" presName="conn2-1" presStyleLbl="parChTrans1D3" presStyleIdx="0" presStyleCnt="2"/>
      <dgm:spPr/>
    </dgm:pt>
    <dgm:pt modelId="{1747B529-10CC-AD47-9838-B94D44F191DF}" type="pres">
      <dgm:prSet presAssocID="{B031A3D0-9FB8-D644-AE99-ECE22F5EEF18}" presName="connTx" presStyleLbl="parChTrans1D3" presStyleIdx="0" presStyleCnt="2"/>
      <dgm:spPr/>
    </dgm:pt>
    <dgm:pt modelId="{9B5A8597-48DA-564B-9657-674ABF1DE4A4}" type="pres">
      <dgm:prSet presAssocID="{C1999FAD-E774-E24E-8AF7-2CED7A8D0A32}" presName="root2" presStyleCnt="0"/>
      <dgm:spPr/>
    </dgm:pt>
    <dgm:pt modelId="{95B60AB3-6BFE-BD4B-AEE1-C0CE1D770147}" type="pres">
      <dgm:prSet presAssocID="{C1999FAD-E774-E24E-8AF7-2CED7A8D0A32}" presName="LevelTwoTextNode" presStyleLbl="node3" presStyleIdx="0" presStyleCnt="2">
        <dgm:presLayoutVars>
          <dgm:chPref val="3"/>
        </dgm:presLayoutVars>
      </dgm:prSet>
      <dgm:spPr/>
    </dgm:pt>
    <dgm:pt modelId="{772FBEA2-F9BA-4740-AC86-AE7F5FF56686}" type="pres">
      <dgm:prSet presAssocID="{C1999FAD-E774-E24E-8AF7-2CED7A8D0A32}" presName="level3hierChild" presStyleCnt="0"/>
      <dgm:spPr/>
    </dgm:pt>
    <dgm:pt modelId="{25DB5293-549D-944A-9360-317D440B1225}" type="pres">
      <dgm:prSet presAssocID="{1E6C3E10-5E57-734C-87C0-18A165F6DA91}" presName="conn2-1" presStyleLbl="parChTrans1D2" presStyleIdx="1" presStyleCnt="2"/>
      <dgm:spPr/>
    </dgm:pt>
    <dgm:pt modelId="{86E2608A-CA25-0445-AACE-BF7ACD0644E3}" type="pres">
      <dgm:prSet presAssocID="{1E6C3E10-5E57-734C-87C0-18A165F6DA91}" presName="connTx" presStyleLbl="parChTrans1D2" presStyleIdx="1" presStyleCnt="2"/>
      <dgm:spPr/>
    </dgm:pt>
    <dgm:pt modelId="{985D0A81-7995-8041-8AD0-C81BCF43C65A}" type="pres">
      <dgm:prSet presAssocID="{C8FF0C34-FD91-0E4A-9D73-68E2C618796B}" presName="root2" presStyleCnt="0"/>
      <dgm:spPr/>
    </dgm:pt>
    <dgm:pt modelId="{48DC0562-3E3D-7845-8AD3-C4601235F800}" type="pres">
      <dgm:prSet presAssocID="{C8FF0C34-FD91-0E4A-9D73-68E2C618796B}" presName="LevelTwoTextNode" presStyleLbl="node2" presStyleIdx="1" presStyleCnt="2">
        <dgm:presLayoutVars>
          <dgm:chPref val="3"/>
        </dgm:presLayoutVars>
      </dgm:prSet>
      <dgm:spPr/>
    </dgm:pt>
    <dgm:pt modelId="{56BD0FBE-33D1-6F4B-A39A-75E58241D292}" type="pres">
      <dgm:prSet presAssocID="{C8FF0C34-FD91-0E4A-9D73-68E2C618796B}" presName="level3hierChild" presStyleCnt="0"/>
      <dgm:spPr/>
    </dgm:pt>
    <dgm:pt modelId="{D8E6AC8A-40F6-6B47-9359-B1E38F0378AB}" type="pres">
      <dgm:prSet presAssocID="{6593191A-4A3D-4F41-97C9-8D69D8FB83E8}" presName="conn2-1" presStyleLbl="parChTrans1D3" presStyleIdx="1" presStyleCnt="2"/>
      <dgm:spPr/>
    </dgm:pt>
    <dgm:pt modelId="{4A3618C8-628E-D14B-943C-93690DC1ED54}" type="pres">
      <dgm:prSet presAssocID="{6593191A-4A3D-4F41-97C9-8D69D8FB83E8}" presName="connTx" presStyleLbl="parChTrans1D3" presStyleIdx="1" presStyleCnt="2"/>
      <dgm:spPr/>
    </dgm:pt>
    <dgm:pt modelId="{6F5CF92A-540E-814C-8853-A9B45E92C802}" type="pres">
      <dgm:prSet presAssocID="{EB892986-4CC1-4B42-9A10-A01F78B17CF5}" presName="root2" presStyleCnt="0"/>
      <dgm:spPr/>
    </dgm:pt>
    <dgm:pt modelId="{9053F1AF-AAA2-E84E-BB19-54859F797C91}" type="pres">
      <dgm:prSet presAssocID="{EB892986-4CC1-4B42-9A10-A01F78B17CF5}" presName="LevelTwoTextNode" presStyleLbl="node3" presStyleIdx="1" presStyleCnt="2">
        <dgm:presLayoutVars>
          <dgm:chPref val="3"/>
        </dgm:presLayoutVars>
      </dgm:prSet>
      <dgm:spPr/>
    </dgm:pt>
    <dgm:pt modelId="{D7FEA8C2-B461-9F44-801F-734D6527ECC2}" type="pres">
      <dgm:prSet presAssocID="{EB892986-4CC1-4B42-9A10-A01F78B17CF5}" presName="level3hierChild" presStyleCnt="0"/>
      <dgm:spPr/>
    </dgm:pt>
  </dgm:ptLst>
  <dgm:cxnLst>
    <dgm:cxn modelId="{893F970D-D337-9D4A-BAFD-47D4C81BB679}" type="presOf" srcId="{6593191A-4A3D-4F41-97C9-8D69D8FB83E8}" destId="{4A3618C8-628E-D14B-943C-93690DC1ED54}" srcOrd="1" destOrd="0" presId="urn:microsoft.com/office/officeart/2005/8/layout/hierarchy2"/>
    <dgm:cxn modelId="{66AF8519-D1E3-A84F-80EB-24E631BED69C}" type="presOf" srcId="{C8FF0C34-FD91-0E4A-9D73-68E2C618796B}" destId="{48DC0562-3E3D-7845-8AD3-C4601235F800}" srcOrd="0" destOrd="0" presId="urn:microsoft.com/office/officeart/2005/8/layout/hierarchy2"/>
    <dgm:cxn modelId="{777DA11B-EE66-454C-8DBF-A365212849AC}" srcId="{1229A059-065C-3144-8449-1B16510251AC}" destId="{EE5FFA52-749D-5340-AD44-E1A4E415B4E9}" srcOrd="0" destOrd="0" parTransId="{152D07C3-87F9-0E4C-9075-3A29D30C1D12}" sibTransId="{5F861546-A919-9D48-B6CA-8B1F833BD9D9}"/>
    <dgm:cxn modelId="{4BFAB039-5D31-8843-ACB4-4CAB500BC9D6}" type="presOf" srcId="{9803151B-18A6-654B-817A-147B5C628201}" destId="{4291A347-2511-5942-9206-F68164ED997A}" srcOrd="0" destOrd="0" presId="urn:microsoft.com/office/officeart/2005/8/layout/hierarchy2"/>
    <dgm:cxn modelId="{35A7BD40-0646-524B-B733-3ACD2F8C47F9}" srcId="{C8FF0C34-FD91-0E4A-9D73-68E2C618796B}" destId="{EB892986-4CC1-4B42-9A10-A01F78B17CF5}" srcOrd="0" destOrd="0" parTransId="{6593191A-4A3D-4F41-97C9-8D69D8FB83E8}" sibTransId="{E1E7A3EA-12E9-B941-B10B-2C2928117458}"/>
    <dgm:cxn modelId="{A7A10E73-4F99-6D47-84B2-179B88996038}" type="presOf" srcId="{1E6C3E10-5E57-734C-87C0-18A165F6DA91}" destId="{86E2608A-CA25-0445-AACE-BF7ACD0644E3}" srcOrd="1" destOrd="0" presId="urn:microsoft.com/office/officeart/2005/8/layout/hierarchy2"/>
    <dgm:cxn modelId="{549EAE85-94EA-E94C-A544-6A86B682AD65}" type="presOf" srcId="{B031A3D0-9FB8-D644-AE99-ECE22F5EEF18}" destId="{1747B529-10CC-AD47-9838-B94D44F191DF}" srcOrd="1" destOrd="0" presId="urn:microsoft.com/office/officeart/2005/8/layout/hierarchy2"/>
    <dgm:cxn modelId="{9165F289-E972-3249-9E59-5B39B382C526}" type="presOf" srcId="{152D07C3-87F9-0E4C-9075-3A29D30C1D12}" destId="{F2F7CD68-5CB6-5E4D-9117-EC912E30F646}" srcOrd="1" destOrd="0" presId="urn:microsoft.com/office/officeart/2005/8/layout/hierarchy2"/>
    <dgm:cxn modelId="{58DF619A-9698-6047-BE5B-7A630D78B4A5}" type="presOf" srcId="{EB892986-4CC1-4B42-9A10-A01F78B17CF5}" destId="{9053F1AF-AAA2-E84E-BB19-54859F797C91}" srcOrd="0" destOrd="0" presId="urn:microsoft.com/office/officeart/2005/8/layout/hierarchy2"/>
    <dgm:cxn modelId="{FFCDCDA0-CAD0-FF41-94BD-B661115E2F6F}" srcId="{9803151B-18A6-654B-817A-147B5C628201}" destId="{1229A059-065C-3144-8449-1B16510251AC}" srcOrd="0" destOrd="0" parTransId="{D658A821-94B8-2B49-BD49-CB346B152220}" sibTransId="{1560D919-B86E-6C43-A9FA-1CA92F10B4E8}"/>
    <dgm:cxn modelId="{18C504A2-4785-1845-9511-18E3B43E33D9}" type="presOf" srcId="{1E6C3E10-5E57-734C-87C0-18A165F6DA91}" destId="{25DB5293-549D-944A-9360-317D440B1225}" srcOrd="0" destOrd="0" presId="urn:microsoft.com/office/officeart/2005/8/layout/hierarchy2"/>
    <dgm:cxn modelId="{906C06C3-4562-BA40-8778-65C69D67869F}" srcId="{1229A059-065C-3144-8449-1B16510251AC}" destId="{C8FF0C34-FD91-0E4A-9D73-68E2C618796B}" srcOrd="1" destOrd="0" parTransId="{1E6C3E10-5E57-734C-87C0-18A165F6DA91}" sibTransId="{3F82F5E3-5914-6848-8A52-8E0D5436E0C1}"/>
    <dgm:cxn modelId="{44844DCF-C48D-5240-9C1F-95ED5C22F0CB}" type="presOf" srcId="{C1999FAD-E774-E24E-8AF7-2CED7A8D0A32}" destId="{95B60AB3-6BFE-BD4B-AEE1-C0CE1D770147}" srcOrd="0" destOrd="0" presId="urn:microsoft.com/office/officeart/2005/8/layout/hierarchy2"/>
    <dgm:cxn modelId="{E8A6B8D3-C7D6-C143-B872-F0C2CEDB91C8}" type="presOf" srcId="{B031A3D0-9FB8-D644-AE99-ECE22F5EEF18}" destId="{85813902-D8E8-6A48-8C13-A104CA55F622}" srcOrd="0" destOrd="0" presId="urn:microsoft.com/office/officeart/2005/8/layout/hierarchy2"/>
    <dgm:cxn modelId="{56EC7CDC-C572-6645-8113-FDA85CFAD2A0}" type="presOf" srcId="{152D07C3-87F9-0E4C-9075-3A29D30C1D12}" destId="{42A5BA9E-0CB7-DD42-9744-E21F7CEF4AB5}" srcOrd="0" destOrd="0" presId="urn:microsoft.com/office/officeart/2005/8/layout/hierarchy2"/>
    <dgm:cxn modelId="{DE5A0AE4-5487-AE4F-AB8F-9E97B5C19B81}" type="presOf" srcId="{EE5FFA52-749D-5340-AD44-E1A4E415B4E9}" destId="{72E74890-B4DA-734D-9A51-AEC7F88A0D9B}" srcOrd="0" destOrd="0" presId="urn:microsoft.com/office/officeart/2005/8/layout/hierarchy2"/>
    <dgm:cxn modelId="{D48C50EA-B39E-EE4B-9589-7497ADDC7584}" type="presOf" srcId="{6593191A-4A3D-4F41-97C9-8D69D8FB83E8}" destId="{D8E6AC8A-40F6-6B47-9359-B1E38F0378AB}" srcOrd="0" destOrd="0" presId="urn:microsoft.com/office/officeart/2005/8/layout/hierarchy2"/>
    <dgm:cxn modelId="{F2C0D7F1-47B5-CD4A-8964-1E291E3C60FB}" type="presOf" srcId="{1229A059-065C-3144-8449-1B16510251AC}" destId="{1278E8B2-1A10-5D46-AFA1-1C2C57BFFECA}" srcOrd="0" destOrd="0" presId="urn:microsoft.com/office/officeart/2005/8/layout/hierarchy2"/>
    <dgm:cxn modelId="{889726F3-8721-6246-B4D2-20C80FC4A6F9}" srcId="{EE5FFA52-749D-5340-AD44-E1A4E415B4E9}" destId="{C1999FAD-E774-E24E-8AF7-2CED7A8D0A32}" srcOrd="0" destOrd="0" parTransId="{B031A3D0-9FB8-D644-AE99-ECE22F5EEF18}" sibTransId="{9570880F-5DF4-C542-9359-2AF8DEDE8982}"/>
    <dgm:cxn modelId="{BC6FE138-85BA-DF43-94F2-16EAC881E8E5}" type="presParOf" srcId="{4291A347-2511-5942-9206-F68164ED997A}" destId="{AC88C759-AAA8-5441-9FE4-859E6EF5576F}" srcOrd="0" destOrd="0" presId="urn:microsoft.com/office/officeart/2005/8/layout/hierarchy2"/>
    <dgm:cxn modelId="{3CFA9A9F-591A-6646-A048-EC63632B393D}" type="presParOf" srcId="{AC88C759-AAA8-5441-9FE4-859E6EF5576F}" destId="{1278E8B2-1A10-5D46-AFA1-1C2C57BFFECA}" srcOrd="0" destOrd="0" presId="urn:microsoft.com/office/officeart/2005/8/layout/hierarchy2"/>
    <dgm:cxn modelId="{58CAC269-E5D1-414C-AA77-B88D6FF591E5}" type="presParOf" srcId="{AC88C759-AAA8-5441-9FE4-859E6EF5576F}" destId="{E3329726-E975-3B48-A0A9-2BC04D2C88AB}" srcOrd="1" destOrd="0" presId="urn:microsoft.com/office/officeart/2005/8/layout/hierarchy2"/>
    <dgm:cxn modelId="{59FDDC22-C8C8-A541-9B31-6F0DB4832268}" type="presParOf" srcId="{E3329726-E975-3B48-A0A9-2BC04D2C88AB}" destId="{42A5BA9E-0CB7-DD42-9744-E21F7CEF4AB5}" srcOrd="0" destOrd="0" presId="urn:microsoft.com/office/officeart/2005/8/layout/hierarchy2"/>
    <dgm:cxn modelId="{2EC6D33F-FCAA-4545-A738-CB66BC67D0DE}" type="presParOf" srcId="{42A5BA9E-0CB7-DD42-9744-E21F7CEF4AB5}" destId="{F2F7CD68-5CB6-5E4D-9117-EC912E30F646}" srcOrd="0" destOrd="0" presId="urn:microsoft.com/office/officeart/2005/8/layout/hierarchy2"/>
    <dgm:cxn modelId="{52A2F53B-9D47-554C-87F1-D1A4237966C2}" type="presParOf" srcId="{E3329726-E975-3B48-A0A9-2BC04D2C88AB}" destId="{94C3B361-F5AE-C34A-AFB5-E2983FFF408E}" srcOrd="1" destOrd="0" presId="urn:microsoft.com/office/officeart/2005/8/layout/hierarchy2"/>
    <dgm:cxn modelId="{F6684F85-6867-4E43-9986-9CA03A9937DC}" type="presParOf" srcId="{94C3B361-F5AE-C34A-AFB5-E2983FFF408E}" destId="{72E74890-B4DA-734D-9A51-AEC7F88A0D9B}" srcOrd="0" destOrd="0" presId="urn:microsoft.com/office/officeart/2005/8/layout/hierarchy2"/>
    <dgm:cxn modelId="{B79B43AC-1119-5747-8D9E-381ADF5530BD}" type="presParOf" srcId="{94C3B361-F5AE-C34A-AFB5-E2983FFF408E}" destId="{5DB3479B-1CCA-5C4D-9FF6-29E5CACCD172}" srcOrd="1" destOrd="0" presId="urn:microsoft.com/office/officeart/2005/8/layout/hierarchy2"/>
    <dgm:cxn modelId="{A452C1F8-ABAB-9E47-A6A5-EE17AE9DDE5D}" type="presParOf" srcId="{5DB3479B-1CCA-5C4D-9FF6-29E5CACCD172}" destId="{85813902-D8E8-6A48-8C13-A104CA55F622}" srcOrd="0" destOrd="0" presId="urn:microsoft.com/office/officeart/2005/8/layout/hierarchy2"/>
    <dgm:cxn modelId="{1B03D42B-2F30-DF48-875C-A2333354C9B3}" type="presParOf" srcId="{85813902-D8E8-6A48-8C13-A104CA55F622}" destId="{1747B529-10CC-AD47-9838-B94D44F191DF}" srcOrd="0" destOrd="0" presId="urn:microsoft.com/office/officeart/2005/8/layout/hierarchy2"/>
    <dgm:cxn modelId="{2EFC9DED-49A6-814D-A78D-4BB933526EEB}" type="presParOf" srcId="{5DB3479B-1CCA-5C4D-9FF6-29E5CACCD172}" destId="{9B5A8597-48DA-564B-9657-674ABF1DE4A4}" srcOrd="1" destOrd="0" presId="urn:microsoft.com/office/officeart/2005/8/layout/hierarchy2"/>
    <dgm:cxn modelId="{838EBFD2-A886-3147-8DF0-50E25855F143}" type="presParOf" srcId="{9B5A8597-48DA-564B-9657-674ABF1DE4A4}" destId="{95B60AB3-6BFE-BD4B-AEE1-C0CE1D770147}" srcOrd="0" destOrd="0" presId="urn:microsoft.com/office/officeart/2005/8/layout/hierarchy2"/>
    <dgm:cxn modelId="{F23EFBCC-A4DF-EF4D-BC04-7A9A17B53695}" type="presParOf" srcId="{9B5A8597-48DA-564B-9657-674ABF1DE4A4}" destId="{772FBEA2-F9BA-4740-AC86-AE7F5FF56686}" srcOrd="1" destOrd="0" presId="urn:microsoft.com/office/officeart/2005/8/layout/hierarchy2"/>
    <dgm:cxn modelId="{56D140FD-56DD-D248-B26C-0949ED2E5AB1}" type="presParOf" srcId="{E3329726-E975-3B48-A0A9-2BC04D2C88AB}" destId="{25DB5293-549D-944A-9360-317D440B1225}" srcOrd="2" destOrd="0" presId="urn:microsoft.com/office/officeart/2005/8/layout/hierarchy2"/>
    <dgm:cxn modelId="{383BBF34-18DF-C045-BF6C-3D9DD51D368C}" type="presParOf" srcId="{25DB5293-549D-944A-9360-317D440B1225}" destId="{86E2608A-CA25-0445-AACE-BF7ACD0644E3}" srcOrd="0" destOrd="0" presId="urn:microsoft.com/office/officeart/2005/8/layout/hierarchy2"/>
    <dgm:cxn modelId="{476094D0-8360-5040-9F97-5BAE18FC1896}" type="presParOf" srcId="{E3329726-E975-3B48-A0A9-2BC04D2C88AB}" destId="{985D0A81-7995-8041-8AD0-C81BCF43C65A}" srcOrd="3" destOrd="0" presId="urn:microsoft.com/office/officeart/2005/8/layout/hierarchy2"/>
    <dgm:cxn modelId="{9794CA2C-20AA-1A4D-9E34-E86A5430E759}" type="presParOf" srcId="{985D0A81-7995-8041-8AD0-C81BCF43C65A}" destId="{48DC0562-3E3D-7845-8AD3-C4601235F800}" srcOrd="0" destOrd="0" presId="urn:microsoft.com/office/officeart/2005/8/layout/hierarchy2"/>
    <dgm:cxn modelId="{29BECC78-52FA-934B-91D3-61248133BDFD}" type="presParOf" srcId="{985D0A81-7995-8041-8AD0-C81BCF43C65A}" destId="{56BD0FBE-33D1-6F4B-A39A-75E58241D292}" srcOrd="1" destOrd="0" presId="urn:microsoft.com/office/officeart/2005/8/layout/hierarchy2"/>
    <dgm:cxn modelId="{FABBA8BB-8C8A-C04F-8979-4AAEA6675A3F}" type="presParOf" srcId="{56BD0FBE-33D1-6F4B-A39A-75E58241D292}" destId="{D8E6AC8A-40F6-6B47-9359-B1E38F0378AB}" srcOrd="0" destOrd="0" presId="urn:microsoft.com/office/officeart/2005/8/layout/hierarchy2"/>
    <dgm:cxn modelId="{3C6B0607-BD8D-C744-8BB9-1ABC10A39693}" type="presParOf" srcId="{D8E6AC8A-40F6-6B47-9359-B1E38F0378AB}" destId="{4A3618C8-628E-D14B-943C-93690DC1ED54}" srcOrd="0" destOrd="0" presId="urn:microsoft.com/office/officeart/2005/8/layout/hierarchy2"/>
    <dgm:cxn modelId="{6731EF09-91B5-0145-85AE-457EEC9F8856}" type="presParOf" srcId="{56BD0FBE-33D1-6F4B-A39A-75E58241D292}" destId="{6F5CF92A-540E-814C-8853-A9B45E92C802}" srcOrd="1" destOrd="0" presId="urn:microsoft.com/office/officeart/2005/8/layout/hierarchy2"/>
    <dgm:cxn modelId="{E936E610-8D69-704E-95BC-BCCD6DFBDC2E}" type="presParOf" srcId="{6F5CF92A-540E-814C-8853-A9B45E92C802}" destId="{9053F1AF-AAA2-E84E-BB19-54859F797C91}" srcOrd="0" destOrd="0" presId="urn:microsoft.com/office/officeart/2005/8/layout/hierarchy2"/>
    <dgm:cxn modelId="{A8B712A3-36CF-E645-86EB-37F4BA291DEF}" type="presParOf" srcId="{6F5CF92A-540E-814C-8853-A9B45E92C802}" destId="{D7FEA8C2-B461-9F44-801F-734D6527ECC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78E8B2-1A10-5D46-AFA1-1C2C57BFFECA}">
      <dsp:nvSpPr>
        <dsp:cNvPr id="0" name=""/>
        <dsp:cNvSpPr/>
      </dsp:nvSpPr>
      <dsp:spPr>
        <a:xfrm>
          <a:off x="169993" y="249575"/>
          <a:ext cx="867139" cy="4335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Lessico religioso</a:t>
          </a:r>
        </a:p>
      </dsp:txBody>
      <dsp:txXfrm>
        <a:off x="182692" y="262274"/>
        <a:ext cx="841741" cy="408171"/>
      </dsp:txXfrm>
    </dsp:sp>
    <dsp:sp modelId="{42A5BA9E-0CB7-DD42-9744-E21F7CEF4AB5}">
      <dsp:nvSpPr>
        <dsp:cNvPr id="0" name=""/>
        <dsp:cNvSpPr/>
      </dsp:nvSpPr>
      <dsp:spPr>
        <a:xfrm rot="19457599">
          <a:off x="996983" y="299873"/>
          <a:ext cx="427154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427154" y="4183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99881" y="331030"/>
        <a:ext cx="21357" cy="21357"/>
      </dsp:txXfrm>
    </dsp:sp>
    <dsp:sp modelId="{72E74890-B4DA-734D-9A51-AEC7F88A0D9B}">
      <dsp:nvSpPr>
        <dsp:cNvPr id="0" name=""/>
        <dsp:cNvSpPr/>
      </dsp:nvSpPr>
      <dsp:spPr>
        <a:xfrm>
          <a:off x="1383987" y="273"/>
          <a:ext cx="867139" cy="4335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Dimensione religiosa </a:t>
          </a:r>
          <a:r>
            <a:rPr lang="it-IT" sz="9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trascendente</a:t>
          </a:r>
        </a:p>
      </dsp:txBody>
      <dsp:txXfrm>
        <a:off x="1396686" y="12972"/>
        <a:ext cx="841741" cy="408171"/>
      </dsp:txXfrm>
    </dsp:sp>
    <dsp:sp modelId="{85813902-D8E8-6A48-8C13-A104CA55F622}">
      <dsp:nvSpPr>
        <dsp:cNvPr id="0" name=""/>
        <dsp:cNvSpPr/>
      </dsp:nvSpPr>
      <dsp:spPr>
        <a:xfrm>
          <a:off x="2251127" y="175222"/>
          <a:ext cx="3468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346855" y="4183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15883" y="208386"/>
        <a:ext cx="17342" cy="17342"/>
      </dsp:txXfrm>
    </dsp:sp>
    <dsp:sp modelId="{95B60AB3-6BFE-BD4B-AEE1-C0CE1D770147}">
      <dsp:nvSpPr>
        <dsp:cNvPr id="0" name=""/>
        <dsp:cNvSpPr/>
      </dsp:nvSpPr>
      <dsp:spPr>
        <a:xfrm>
          <a:off x="2597982" y="273"/>
          <a:ext cx="867139" cy="4335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religione</a:t>
          </a: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it-IT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Dio</a:t>
          </a: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it-IT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credere</a:t>
          </a: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it-IT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pregare</a:t>
          </a:r>
        </a:p>
      </dsp:txBody>
      <dsp:txXfrm>
        <a:off x="2610681" y="12972"/>
        <a:ext cx="841741" cy="408171"/>
      </dsp:txXfrm>
    </dsp:sp>
    <dsp:sp modelId="{25DB5293-549D-944A-9360-317D440B1225}">
      <dsp:nvSpPr>
        <dsp:cNvPr id="0" name=""/>
        <dsp:cNvSpPr/>
      </dsp:nvSpPr>
      <dsp:spPr>
        <a:xfrm rot="2142401">
          <a:off x="996983" y="549175"/>
          <a:ext cx="427154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427154" y="4183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99881" y="580332"/>
        <a:ext cx="21357" cy="21357"/>
      </dsp:txXfrm>
    </dsp:sp>
    <dsp:sp modelId="{48DC0562-3E3D-7845-8AD3-C4601235F800}">
      <dsp:nvSpPr>
        <dsp:cNvPr id="0" name=""/>
        <dsp:cNvSpPr/>
      </dsp:nvSpPr>
      <dsp:spPr>
        <a:xfrm>
          <a:off x="1383987" y="498878"/>
          <a:ext cx="867139" cy="4335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Dimensione religiosa </a:t>
          </a:r>
          <a:r>
            <a:rPr lang="it-IT" sz="9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istituzionale</a:t>
          </a:r>
        </a:p>
      </dsp:txBody>
      <dsp:txXfrm>
        <a:off x="1396686" y="511577"/>
        <a:ext cx="841741" cy="408171"/>
      </dsp:txXfrm>
    </dsp:sp>
    <dsp:sp modelId="{D8E6AC8A-40F6-6B47-9359-B1E38F0378AB}">
      <dsp:nvSpPr>
        <dsp:cNvPr id="0" name=""/>
        <dsp:cNvSpPr/>
      </dsp:nvSpPr>
      <dsp:spPr>
        <a:xfrm>
          <a:off x="2251127" y="673827"/>
          <a:ext cx="3468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346855" y="4183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15883" y="706991"/>
        <a:ext cx="17342" cy="17342"/>
      </dsp:txXfrm>
    </dsp:sp>
    <dsp:sp modelId="{9053F1AF-AAA2-E84E-BB19-54859F797C91}">
      <dsp:nvSpPr>
        <dsp:cNvPr id="0" name=""/>
        <dsp:cNvSpPr/>
      </dsp:nvSpPr>
      <dsp:spPr>
        <a:xfrm>
          <a:off x="2597982" y="498878"/>
          <a:ext cx="867139" cy="43356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chiesa</a:t>
          </a: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it-IT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papa</a:t>
          </a: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it-IT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religioso</a:t>
          </a: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it-IT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messa</a:t>
          </a:r>
          <a:r>
            <a:rPr lang="it-IT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it-IT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cattolico</a:t>
          </a:r>
        </a:p>
      </dsp:txBody>
      <dsp:txXfrm>
        <a:off x="2610681" y="511577"/>
        <a:ext cx="841741" cy="4081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D7E5-D13C-5E48-8EC9-5325B460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2284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Punziano</dc:creator>
  <cp:lastModifiedBy>AUGUSTO COCORULLO</cp:lastModifiedBy>
  <cp:revision>174</cp:revision>
  <dcterms:created xsi:type="dcterms:W3CDTF">2019-01-27T18:01:00Z</dcterms:created>
  <dcterms:modified xsi:type="dcterms:W3CDTF">2021-03-04T10:47:00Z</dcterms:modified>
</cp:coreProperties>
</file>